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Ind w:w="90" w:type="dxa"/>
        <w:tblLook w:val="04A0" w:firstRow="1" w:lastRow="0" w:firstColumn="1" w:lastColumn="0" w:noHBand="0" w:noVBand="1"/>
      </w:tblPr>
      <w:tblGrid>
        <w:gridCol w:w="6048"/>
        <w:gridCol w:w="3132"/>
      </w:tblGrid>
      <w:tr w:rsidR="00284F83" w:rsidRPr="00E22664" w14:paraId="23ED589E" w14:textId="77777777" w:rsidTr="00C519C5">
        <w:trPr>
          <w:trHeight w:val="1601"/>
        </w:trPr>
        <w:tc>
          <w:tcPr>
            <w:tcW w:w="6048" w:type="dxa"/>
            <w:tcBorders>
              <w:top w:val="nil"/>
              <w:left w:val="nil"/>
              <w:bottom w:val="nil"/>
              <w:right w:val="nil"/>
            </w:tcBorders>
          </w:tcPr>
          <w:p w14:paraId="0A7F3464" w14:textId="74FBB0C3" w:rsidR="00284F83" w:rsidRPr="00E22664" w:rsidRDefault="00284F83" w:rsidP="00284F83">
            <w:pPr>
              <w:ind w:left="1440"/>
              <w:rPr>
                <w:rFonts w:ascii="Garamond" w:eastAsia="Times New Roman" w:hAnsi="Garamond" w:cs="Times New Roman"/>
                <w:color w:val="0000CC"/>
                <w:spacing w:val="-20"/>
              </w:rPr>
            </w:pPr>
            <w:r w:rsidRPr="00E22664">
              <w:rPr>
                <w:rFonts w:ascii="Garamond" w:hAnsi="Garamond"/>
                <w:noProof/>
                <w:color w:val="0000CC"/>
                <w:spacing w:val="-20"/>
              </w:rPr>
              <w:drawing>
                <wp:anchor distT="0" distB="0" distL="114300" distR="114300" simplePos="0" relativeHeight="251657216" behindDoc="1" locked="0" layoutInCell="1" allowOverlap="1" wp14:anchorId="795E97D6" wp14:editId="4BD66C44">
                  <wp:simplePos x="0" y="0"/>
                  <wp:positionH relativeFrom="page">
                    <wp:posOffset>37465</wp:posOffset>
                  </wp:positionH>
                  <wp:positionV relativeFrom="paragraph">
                    <wp:posOffset>-1905</wp:posOffset>
                  </wp:positionV>
                  <wp:extent cx="781685" cy="1002030"/>
                  <wp:effectExtent l="0" t="0" r="0" b="762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685" cy="1002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2664">
              <w:rPr>
                <w:rFonts w:ascii="Garamond" w:eastAsia="Times New Roman" w:hAnsi="Garamond" w:cs="Times New Roman"/>
                <w:color w:val="0000CC"/>
                <w:spacing w:val="-20"/>
              </w:rPr>
              <w:t xml:space="preserve">  </w:t>
            </w:r>
          </w:p>
          <w:p w14:paraId="4D09A7E2" w14:textId="77777777" w:rsidR="00284F83" w:rsidRPr="00E22664" w:rsidRDefault="00962352" w:rsidP="00962352">
            <w:pPr>
              <w:tabs>
                <w:tab w:val="left" w:pos="1242"/>
              </w:tabs>
              <w:rPr>
                <w:rFonts w:ascii="Garamond" w:eastAsia="Times New Roman" w:hAnsi="Garamond" w:cs="Times New Roman"/>
                <w:color w:val="0000CC"/>
              </w:rPr>
            </w:pPr>
            <w:r>
              <w:rPr>
                <w:rFonts w:ascii="Garamond" w:eastAsia="Times New Roman" w:hAnsi="Garamond" w:cs="Times New Roman"/>
                <w:color w:val="0000CC"/>
                <w:spacing w:val="-20"/>
              </w:rPr>
              <w:tab/>
            </w:r>
            <w:r w:rsidR="00284F83" w:rsidRPr="00E22664">
              <w:rPr>
                <w:rFonts w:ascii="Garamond" w:eastAsia="Times New Roman" w:hAnsi="Garamond" w:cs="Times New Roman"/>
                <w:color w:val="0000CC"/>
                <w:spacing w:val="-20"/>
              </w:rPr>
              <w:t>S</w:t>
            </w:r>
            <w:r w:rsidR="00284F83" w:rsidRPr="00E22664">
              <w:rPr>
                <w:rFonts w:ascii="Garamond" w:eastAsia="Times New Roman" w:hAnsi="Garamond" w:cs="Times New Roman"/>
                <w:color w:val="0000CC"/>
              </w:rPr>
              <w:t>tate of Maine</w:t>
            </w:r>
          </w:p>
          <w:p w14:paraId="067A74DA" w14:textId="77777777" w:rsidR="00284F83" w:rsidRPr="00E22664" w:rsidRDefault="00962352" w:rsidP="00962352">
            <w:pPr>
              <w:tabs>
                <w:tab w:val="left" w:pos="1242"/>
              </w:tabs>
              <w:rPr>
                <w:rFonts w:ascii="Garamond" w:eastAsia="Times New Roman" w:hAnsi="Garamond" w:cs="Times New Roman"/>
                <w:color w:val="0000CC"/>
              </w:rPr>
            </w:pPr>
            <w:r>
              <w:rPr>
                <w:rFonts w:ascii="Garamond" w:eastAsia="Times New Roman" w:hAnsi="Garamond" w:cs="Times New Roman"/>
                <w:b/>
                <w:bCs/>
                <w:color w:val="0000CC"/>
              </w:rPr>
              <w:tab/>
            </w:r>
            <w:r w:rsidR="00284F83" w:rsidRPr="00E22664">
              <w:rPr>
                <w:rFonts w:ascii="Garamond" w:eastAsia="Times New Roman" w:hAnsi="Garamond" w:cs="Times New Roman"/>
                <w:b/>
                <w:bCs/>
                <w:color w:val="0000CC"/>
              </w:rPr>
              <w:t>Office of the Public Advocate</w:t>
            </w:r>
          </w:p>
          <w:p w14:paraId="22E18A51" w14:textId="77777777" w:rsidR="00284F83" w:rsidRPr="00E22664" w:rsidRDefault="00962352" w:rsidP="00962352">
            <w:pPr>
              <w:pStyle w:val="BodyText"/>
              <w:tabs>
                <w:tab w:val="left" w:pos="1242"/>
              </w:tabs>
              <w:spacing w:before="19"/>
              <w:ind w:left="0"/>
              <w:rPr>
                <w:rFonts w:ascii="Garamond" w:hAnsi="Garamond"/>
                <w:color w:val="0000CC"/>
                <w:sz w:val="22"/>
                <w:szCs w:val="22"/>
              </w:rPr>
            </w:pPr>
            <w:r>
              <w:rPr>
                <w:rFonts w:ascii="Garamond" w:hAnsi="Garamond"/>
                <w:color w:val="0000CC"/>
                <w:sz w:val="22"/>
                <w:szCs w:val="22"/>
              </w:rPr>
              <w:tab/>
            </w:r>
            <w:r w:rsidR="00284F83" w:rsidRPr="00E22664">
              <w:rPr>
                <w:rFonts w:ascii="Garamond" w:hAnsi="Garamond"/>
                <w:color w:val="0000CC"/>
                <w:sz w:val="22"/>
                <w:szCs w:val="22"/>
              </w:rPr>
              <w:t>112 State House Station, Augusta, Maine 04333-0112</w:t>
            </w:r>
          </w:p>
          <w:p w14:paraId="418404F7" w14:textId="77777777" w:rsidR="00304DB3" w:rsidRDefault="00962352" w:rsidP="00962352">
            <w:pPr>
              <w:tabs>
                <w:tab w:val="left" w:pos="1242"/>
              </w:tabs>
              <w:spacing w:line="220" w:lineRule="exact"/>
              <w:ind w:left="720"/>
              <w:rPr>
                <w:rFonts w:ascii="Garamond" w:hAnsi="Garamond"/>
                <w:color w:val="0000CC"/>
              </w:rPr>
            </w:pPr>
            <w:r>
              <w:rPr>
                <w:rFonts w:ascii="Garamond" w:hAnsi="Garamond"/>
                <w:color w:val="0000CC"/>
              </w:rPr>
              <w:tab/>
            </w:r>
            <w:r w:rsidR="00284F83" w:rsidRPr="00E22664">
              <w:rPr>
                <w:rFonts w:ascii="Garamond" w:hAnsi="Garamond"/>
                <w:color w:val="0000CC"/>
              </w:rPr>
              <w:t xml:space="preserve">(207) </w:t>
            </w:r>
            <w:r w:rsidR="00044D25" w:rsidRPr="00E22664">
              <w:rPr>
                <w:rFonts w:ascii="Garamond" w:hAnsi="Garamond"/>
                <w:color w:val="0000CC"/>
              </w:rPr>
              <w:t>624</w:t>
            </w:r>
            <w:r w:rsidR="00284F83" w:rsidRPr="00E22664">
              <w:rPr>
                <w:rFonts w:ascii="Garamond" w:hAnsi="Garamond"/>
                <w:color w:val="0000CC"/>
              </w:rPr>
              <w:t>-</w:t>
            </w:r>
            <w:r w:rsidR="00044D25" w:rsidRPr="00E22664">
              <w:rPr>
                <w:rFonts w:ascii="Garamond" w:hAnsi="Garamond"/>
                <w:color w:val="0000CC"/>
              </w:rPr>
              <w:t>3687</w:t>
            </w:r>
            <w:r w:rsidR="00284F83" w:rsidRPr="00E22664">
              <w:rPr>
                <w:rFonts w:ascii="Garamond" w:hAnsi="Garamond"/>
                <w:color w:val="0000CC"/>
              </w:rPr>
              <w:t xml:space="preserve"> (voice) 711 (TTY)</w:t>
            </w:r>
          </w:p>
          <w:p w14:paraId="00BF52C6" w14:textId="77777777" w:rsidR="00284F83" w:rsidRPr="00E22664" w:rsidRDefault="00304DB3" w:rsidP="00962352">
            <w:pPr>
              <w:tabs>
                <w:tab w:val="left" w:pos="1242"/>
              </w:tabs>
              <w:spacing w:line="220" w:lineRule="exact"/>
              <w:ind w:left="720"/>
              <w:rPr>
                <w:rFonts w:ascii="Garamond" w:eastAsia="Times New Roman" w:hAnsi="Garamond" w:cs="Times New Roman"/>
                <w:smallCaps/>
                <w:color w:val="0000CC"/>
              </w:rPr>
            </w:pPr>
            <w:r>
              <w:rPr>
                <w:rFonts w:ascii="Garamond" w:hAnsi="Garamond"/>
                <w:color w:val="0000CC"/>
              </w:rPr>
              <w:t xml:space="preserve">          </w:t>
            </w:r>
            <w:r w:rsidR="00284F83" w:rsidRPr="00E22664">
              <w:rPr>
                <w:rFonts w:ascii="Garamond" w:hAnsi="Garamond"/>
                <w:color w:val="0000CC"/>
              </w:rPr>
              <w:t>www.Maine.</w:t>
            </w:r>
            <w:r w:rsidR="00341BBF" w:rsidRPr="00E22664">
              <w:rPr>
                <w:rFonts w:ascii="Garamond" w:hAnsi="Garamond"/>
                <w:color w:val="0000CC"/>
              </w:rPr>
              <w:t>g</w:t>
            </w:r>
            <w:r w:rsidR="00284F83" w:rsidRPr="00E22664">
              <w:rPr>
                <w:rFonts w:ascii="Garamond" w:hAnsi="Garamond"/>
                <w:color w:val="0000CC"/>
              </w:rPr>
              <w:t>ov/meopa</w:t>
            </w:r>
          </w:p>
          <w:p w14:paraId="46D71DA4" w14:textId="77777777" w:rsidR="00284F83" w:rsidRPr="00E22664" w:rsidRDefault="00284F83">
            <w:pPr>
              <w:rPr>
                <w:rFonts w:ascii="Garamond" w:hAnsi="Garamond"/>
              </w:rPr>
            </w:pPr>
          </w:p>
        </w:tc>
        <w:tc>
          <w:tcPr>
            <w:tcW w:w="3132" w:type="dxa"/>
            <w:tcBorders>
              <w:top w:val="nil"/>
              <w:left w:val="nil"/>
              <w:bottom w:val="nil"/>
              <w:right w:val="nil"/>
            </w:tcBorders>
          </w:tcPr>
          <w:p w14:paraId="001728F3" w14:textId="77777777" w:rsidR="00284F83" w:rsidRPr="00E22664" w:rsidRDefault="00284F83" w:rsidP="00BF4232">
            <w:pPr>
              <w:spacing w:line="220" w:lineRule="exact"/>
              <w:rPr>
                <w:rFonts w:ascii="Garamond" w:hAnsi="Garamond"/>
                <w:color w:val="0000CC"/>
              </w:rPr>
            </w:pPr>
          </w:p>
          <w:p w14:paraId="79B5873A" w14:textId="77777777" w:rsidR="00EA37A6" w:rsidRDefault="00EA37A6" w:rsidP="00962352">
            <w:pPr>
              <w:spacing w:line="220" w:lineRule="exact"/>
              <w:jc w:val="right"/>
              <w:rPr>
                <w:rFonts w:ascii="Garamond" w:hAnsi="Garamond"/>
                <w:color w:val="0000CC"/>
              </w:rPr>
            </w:pPr>
          </w:p>
          <w:p w14:paraId="766DE6D0" w14:textId="77777777" w:rsidR="00EA37A6" w:rsidRDefault="00EA37A6" w:rsidP="00962352">
            <w:pPr>
              <w:spacing w:line="220" w:lineRule="exact"/>
              <w:jc w:val="right"/>
              <w:rPr>
                <w:rFonts w:ascii="Garamond" w:hAnsi="Garamond"/>
                <w:color w:val="0000CC"/>
              </w:rPr>
            </w:pPr>
          </w:p>
          <w:p w14:paraId="138A9100" w14:textId="4411B587" w:rsidR="00284F83" w:rsidRPr="00E22664" w:rsidRDefault="002A497E" w:rsidP="00962352">
            <w:pPr>
              <w:spacing w:line="220" w:lineRule="exact"/>
              <w:jc w:val="right"/>
              <w:rPr>
                <w:rFonts w:ascii="Garamond" w:eastAsia="Times New Roman" w:hAnsi="Garamond" w:cs="Times New Roman"/>
                <w:smallCaps/>
                <w:color w:val="0000CC"/>
                <w:spacing w:val="-20"/>
              </w:rPr>
            </w:pPr>
            <w:r>
              <w:rPr>
                <w:rFonts w:ascii="Garamond" w:hAnsi="Garamond"/>
                <w:color w:val="0000CC"/>
              </w:rPr>
              <w:t>Heather Sanborn</w:t>
            </w:r>
          </w:p>
          <w:p w14:paraId="45E9729C" w14:textId="112D3900" w:rsidR="00284F83" w:rsidRPr="00E22664" w:rsidRDefault="00C76007" w:rsidP="00962352">
            <w:pPr>
              <w:spacing w:line="220" w:lineRule="exact"/>
              <w:jc w:val="right"/>
              <w:rPr>
                <w:rFonts w:ascii="Garamond" w:eastAsia="Times New Roman" w:hAnsi="Garamond" w:cs="Times New Roman"/>
                <w:smallCaps/>
                <w:color w:val="0000CC"/>
              </w:rPr>
            </w:pPr>
            <w:r>
              <w:rPr>
                <w:rFonts w:ascii="Garamond" w:eastAsia="Times New Roman" w:hAnsi="Garamond" w:cs="Times New Roman"/>
                <w:smallCaps/>
                <w:color w:val="0000CC"/>
              </w:rPr>
              <w:t>public advocate</w:t>
            </w:r>
          </w:p>
          <w:p w14:paraId="27DEA85A" w14:textId="77777777" w:rsidR="00284F83" w:rsidRPr="00E22664" w:rsidRDefault="00284F83">
            <w:pPr>
              <w:rPr>
                <w:rFonts w:ascii="Garamond" w:hAnsi="Garamond"/>
              </w:rPr>
            </w:pPr>
          </w:p>
        </w:tc>
      </w:tr>
    </w:tbl>
    <w:p w14:paraId="636D69A8" w14:textId="77777777" w:rsidR="00E43A98" w:rsidRPr="00E22664" w:rsidRDefault="00E43A98">
      <w:pPr>
        <w:rPr>
          <w:rFonts w:ascii="Garamond" w:hAnsi="Garamond"/>
          <w:sz w:val="26"/>
          <w:szCs w:val="26"/>
        </w:rPr>
      </w:pPr>
    </w:p>
    <w:p w14:paraId="777B3E13" w14:textId="640CB76D" w:rsidR="00F76B30" w:rsidRPr="00E22664" w:rsidRDefault="00E22664" w:rsidP="009A1F30">
      <w:pPr>
        <w:tabs>
          <w:tab w:val="left" w:pos="5040"/>
        </w:tabs>
        <w:rPr>
          <w:rFonts w:ascii="Garamond" w:hAnsi="Garamond"/>
          <w:sz w:val="26"/>
          <w:szCs w:val="26"/>
        </w:rPr>
      </w:pPr>
      <w:r w:rsidRPr="00E22664">
        <w:rPr>
          <w:rFonts w:ascii="Garamond" w:hAnsi="Garamond"/>
          <w:sz w:val="26"/>
          <w:szCs w:val="26"/>
        </w:rPr>
        <w:tab/>
      </w:r>
      <w:r w:rsidR="00C85173">
        <w:rPr>
          <w:rFonts w:ascii="Garamond" w:hAnsi="Garamond"/>
          <w:sz w:val="26"/>
          <w:szCs w:val="26"/>
        </w:rPr>
        <w:tab/>
      </w:r>
      <w:r w:rsidR="00C85173">
        <w:rPr>
          <w:rFonts w:ascii="Garamond" w:hAnsi="Garamond"/>
          <w:sz w:val="26"/>
          <w:szCs w:val="26"/>
        </w:rPr>
        <w:tab/>
      </w:r>
      <w:r w:rsidR="0069742F">
        <w:rPr>
          <w:rFonts w:ascii="Garamond" w:hAnsi="Garamond"/>
          <w:sz w:val="26"/>
          <w:szCs w:val="26"/>
        </w:rPr>
        <w:t>August</w:t>
      </w:r>
      <w:r w:rsidR="0090786C">
        <w:rPr>
          <w:rFonts w:ascii="Garamond" w:hAnsi="Garamond"/>
          <w:sz w:val="26"/>
          <w:szCs w:val="26"/>
        </w:rPr>
        <w:t xml:space="preserve"> 22</w:t>
      </w:r>
      <w:r w:rsidR="00EE14BA">
        <w:rPr>
          <w:rFonts w:ascii="Garamond" w:hAnsi="Garamond"/>
          <w:sz w:val="26"/>
          <w:szCs w:val="26"/>
        </w:rPr>
        <w:t>, 202</w:t>
      </w:r>
      <w:r w:rsidR="008402AB">
        <w:rPr>
          <w:rFonts w:ascii="Garamond" w:hAnsi="Garamond"/>
          <w:sz w:val="26"/>
          <w:szCs w:val="26"/>
        </w:rPr>
        <w:t>5</w:t>
      </w:r>
    </w:p>
    <w:p w14:paraId="64F87152" w14:textId="77777777" w:rsidR="007678D6" w:rsidRDefault="007678D6" w:rsidP="00564AE1">
      <w:pPr>
        <w:widowControl/>
        <w:autoSpaceDE w:val="0"/>
        <w:autoSpaceDN w:val="0"/>
        <w:adjustRightInd w:val="0"/>
        <w:rPr>
          <w:rFonts w:ascii="Garamond" w:hAnsi="Garamond" w:cs="Garamond"/>
          <w:sz w:val="26"/>
          <w:szCs w:val="26"/>
        </w:rPr>
      </w:pPr>
      <w:bookmarkStart w:id="0" w:name="_Hlk204954829"/>
    </w:p>
    <w:p w14:paraId="06F8F5CE" w14:textId="4B93177A" w:rsidR="00802AE0" w:rsidRPr="006C0DC5" w:rsidRDefault="007678D6" w:rsidP="00564AE1">
      <w:pPr>
        <w:widowControl/>
        <w:autoSpaceDE w:val="0"/>
        <w:autoSpaceDN w:val="0"/>
        <w:adjustRightInd w:val="0"/>
        <w:rPr>
          <w:rFonts w:ascii="Georgia" w:hAnsi="Georgia" w:cs="Garamond"/>
          <w:sz w:val="24"/>
          <w:szCs w:val="24"/>
        </w:rPr>
      </w:pPr>
      <w:r w:rsidRPr="006C0DC5">
        <w:rPr>
          <w:rFonts w:ascii="Georgia" w:hAnsi="Georgia" w:cs="Garamond"/>
          <w:sz w:val="24"/>
          <w:szCs w:val="24"/>
        </w:rPr>
        <w:t xml:space="preserve">To: </w:t>
      </w:r>
      <w:r w:rsidR="00564AE1" w:rsidRPr="006C0DC5">
        <w:rPr>
          <w:rFonts w:ascii="Georgia" w:hAnsi="Georgia" w:cs="Garamond"/>
          <w:sz w:val="24"/>
          <w:szCs w:val="24"/>
        </w:rPr>
        <w:t>N</w:t>
      </w:r>
      <w:r w:rsidR="006C3435" w:rsidRPr="006C0DC5">
        <w:rPr>
          <w:rFonts w:ascii="Georgia" w:hAnsi="Georgia" w:cs="Garamond"/>
          <w:sz w:val="24"/>
          <w:szCs w:val="24"/>
        </w:rPr>
        <w:t>ew England Conference</w:t>
      </w:r>
      <w:r w:rsidR="00802AE0" w:rsidRPr="006C0DC5">
        <w:rPr>
          <w:rFonts w:ascii="Georgia" w:hAnsi="Georgia" w:cs="Garamond"/>
          <w:sz w:val="24"/>
          <w:szCs w:val="24"/>
        </w:rPr>
        <w:t xml:space="preserve"> of </w:t>
      </w:r>
    </w:p>
    <w:p w14:paraId="4C35C92E" w14:textId="3B2066DE" w:rsidR="00311024" w:rsidRPr="006C0DC5" w:rsidRDefault="00153430" w:rsidP="00564AE1">
      <w:pPr>
        <w:widowControl/>
        <w:autoSpaceDE w:val="0"/>
        <w:autoSpaceDN w:val="0"/>
        <w:adjustRightInd w:val="0"/>
        <w:rPr>
          <w:rFonts w:ascii="Georgia" w:hAnsi="Georgia" w:cs="Garamond"/>
          <w:sz w:val="24"/>
          <w:szCs w:val="24"/>
        </w:rPr>
      </w:pPr>
      <w:r w:rsidRPr="006C0DC5">
        <w:rPr>
          <w:rFonts w:ascii="Georgia" w:hAnsi="Georgia" w:cs="Garamond"/>
          <w:sz w:val="24"/>
          <w:szCs w:val="24"/>
        </w:rPr>
        <w:t xml:space="preserve">      </w:t>
      </w:r>
      <w:r w:rsidR="00A9202A">
        <w:rPr>
          <w:rFonts w:ascii="Georgia" w:hAnsi="Georgia" w:cs="Garamond"/>
          <w:sz w:val="24"/>
          <w:szCs w:val="24"/>
        </w:rPr>
        <w:t xml:space="preserve"> </w:t>
      </w:r>
      <w:r w:rsidR="00802AE0" w:rsidRPr="006C0DC5">
        <w:rPr>
          <w:rFonts w:ascii="Georgia" w:hAnsi="Georgia" w:cs="Garamond"/>
          <w:sz w:val="24"/>
          <w:szCs w:val="24"/>
        </w:rPr>
        <w:t>Public Utilities Commissioners (N</w:t>
      </w:r>
      <w:r w:rsidR="00564AE1" w:rsidRPr="006C0DC5">
        <w:rPr>
          <w:rFonts w:ascii="Georgia" w:hAnsi="Georgia" w:cs="Garamond"/>
          <w:sz w:val="24"/>
          <w:szCs w:val="24"/>
        </w:rPr>
        <w:t>ECPUC</w:t>
      </w:r>
      <w:r w:rsidR="00802AE0" w:rsidRPr="006C0DC5">
        <w:rPr>
          <w:rFonts w:ascii="Georgia" w:hAnsi="Georgia" w:cs="Garamond"/>
          <w:sz w:val="24"/>
          <w:szCs w:val="24"/>
        </w:rPr>
        <w:t>)</w:t>
      </w:r>
      <w:r w:rsidR="00564AE1" w:rsidRPr="006C0DC5">
        <w:rPr>
          <w:rFonts w:ascii="Georgia" w:hAnsi="Georgia" w:cs="Garamond"/>
          <w:sz w:val="24"/>
          <w:szCs w:val="24"/>
        </w:rPr>
        <w:t xml:space="preserve"> </w:t>
      </w:r>
    </w:p>
    <w:p w14:paraId="6D3E6523" w14:textId="77777777" w:rsidR="007E6D5B" w:rsidRDefault="003749FF" w:rsidP="00564AE1">
      <w:pPr>
        <w:widowControl/>
        <w:autoSpaceDE w:val="0"/>
        <w:autoSpaceDN w:val="0"/>
        <w:adjustRightInd w:val="0"/>
        <w:rPr>
          <w:rFonts w:ascii="Georgia" w:hAnsi="Georgia" w:cs="Garamond"/>
          <w:sz w:val="24"/>
          <w:szCs w:val="24"/>
        </w:rPr>
      </w:pPr>
      <w:r w:rsidRPr="006C0DC5">
        <w:rPr>
          <w:rFonts w:ascii="Georgia" w:hAnsi="Georgia" w:cs="Garamond"/>
          <w:sz w:val="24"/>
          <w:szCs w:val="24"/>
        </w:rPr>
        <w:t xml:space="preserve">      </w:t>
      </w:r>
      <w:r w:rsidR="00A9202A">
        <w:rPr>
          <w:rFonts w:ascii="Georgia" w:hAnsi="Georgia" w:cs="Garamond"/>
          <w:sz w:val="24"/>
          <w:szCs w:val="24"/>
        </w:rPr>
        <w:t xml:space="preserve"> </w:t>
      </w:r>
      <w:r w:rsidR="00564AE1" w:rsidRPr="006C0DC5">
        <w:rPr>
          <w:rFonts w:ascii="Georgia" w:hAnsi="Georgia" w:cs="Garamond"/>
          <w:sz w:val="24"/>
          <w:szCs w:val="24"/>
        </w:rPr>
        <w:t>Retail D</w:t>
      </w:r>
      <w:r w:rsidR="00802AE0" w:rsidRPr="006C0DC5">
        <w:rPr>
          <w:rFonts w:ascii="Georgia" w:hAnsi="Georgia" w:cs="Garamond"/>
          <w:sz w:val="24"/>
          <w:szCs w:val="24"/>
        </w:rPr>
        <w:t xml:space="preserve">emand </w:t>
      </w:r>
      <w:r w:rsidR="00564AE1" w:rsidRPr="006C0DC5">
        <w:rPr>
          <w:rFonts w:ascii="Georgia" w:hAnsi="Georgia" w:cs="Garamond"/>
          <w:sz w:val="24"/>
          <w:szCs w:val="24"/>
        </w:rPr>
        <w:t>R</w:t>
      </w:r>
      <w:r w:rsidR="00802AE0" w:rsidRPr="006C0DC5">
        <w:rPr>
          <w:rFonts w:ascii="Georgia" w:hAnsi="Georgia" w:cs="Garamond"/>
          <w:sz w:val="24"/>
          <w:szCs w:val="24"/>
        </w:rPr>
        <w:t>esponse</w:t>
      </w:r>
      <w:r w:rsidR="00564AE1" w:rsidRPr="006C0DC5">
        <w:rPr>
          <w:rFonts w:ascii="Georgia" w:hAnsi="Georgia" w:cs="Garamond"/>
          <w:sz w:val="24"/>
          <w:szCs w:val="24"/>
        </w:rPr>
        <w:t xml:space="preserve"> &amp; Load Flexibility Working Group</w:t>
      </w:r>
      <w:bookmarkEnd w:id="0"/>
      <w:r w:rsidR="00564AE1" w:rsidRPr="006C0DC5">
        <w:rPr>
          <w:rFonts w:ascii="Georgia" w:hAnsi="Georgia" w:cs="Garamond"/>
          <w:sz w:val="24"/>
          <w:szCs w:val="24"/>
        </w:rPr>
        <w:br/>
      </w:r>
      <w:r w:rsidR="00564AE1" w:rsidRPr="006C0DC5">
        <w:rPr>
          <w:rFonts w:ascii="Georgia" w:hAnsi="Georgia" w:cs="Garamond"/>
          <w:sz w:val="24"/>
          <w:szCs w:val="24"/>
        </w:rPr>
        <w:br/>
      </w:r>
      <w:r w:rsidR="00DB6E4B" w:rsidRPr="006C0DC5">
        <w:rPr>
          <w:rFonts w:ascii="Georgia" w:hAnsi="Georgia" w:cs="Garamond"/>
          <w:sz w:val="24"/>
          <w:szCs w:val="24"/>
        </w:rPr>
        <w:t>Re</w:t>
      </w:r>
      <w:r w:rsidRPr="006C0DC5">
        <w:rPr>
          <w:rFonts w:ascii="Georgia" w:hAnsi="Georgia" w:cs="Garamond"/>
          <w:sz w:val="24"/>
          <w:szCs w:val="24"/>
        </w:rPr>
        <w:t>:</w:t>
      </w:r>
      <w:r w:rsidR="00DB6E4B" w:rsidRPr="006C0DC5">
        <w:rPr>
          <w:rFonts w:ascii="Georgia" w:hAnsi="Georgia" w:cs="Garamond"/>
          <w:sz w:val="24"/>
          <w:szCs w:val="24"/>
        </w:rPr>
        <w:t xml:space="preserve"> </w:t>
      </w:r>
      <w:r w:rsidR="005E2E0A">
        <w:rPr>
          <w:rFonts w:ascii="Georgia" w:hAnsi="Georgia" w:cs="Garamond"/>
          <w:sz w:val="24"/>
          <w:szCs w:val="24"/>
        </w:rPr>
        <w:t xml:space="preserve">Office of the Public Advocate </w:t>
      </w:r>
      <w:r w:rsidR="00DB6E4B" w:rsidRPr="006C0DC5">
        <w:rPr>
          <w:rFonts w:ascii="Georgia" w:hAnsi="Georgia" w:cs="Garamond"/>
          <w:sz w:val="24"/>
          <w:szCs w:val="24"/>
        </w:rPr>
        <w:t xml:space="preserve">Comments </w:t>
      </w:r>
      <w:r w:rsidR="00206E3E" w:rsidRPr="006C0DC5">
        <w:rPr>
          <w:rFonts w:ascii="Georgia" w:hAnsi="Georgia" w:cs="Garamond"/>
          <w:sz w:val="24"/>
          <w:szCs w:val="24"/>
        </w:rPr>
        <w:t xml:space="preserve">on the Lawrence Berkeley National </w:t>
      </w:r>
    </w:p>
    <w:p w14:paraId="3AD9FE85" w14:textId="4A0585E3" w:rsidR="00290EF6" w:rsidRPr="006C0DC5" w:rsidRDefault="007E6D5B" w:rsidP="00564AE1">
      <w:pPr>
        <w:widowControl/>
        <w:autoSpaceDE w:val="0"/>
        <w:autoSpaceDN w:val="0"/>
        <w:adjustRightInd w:val="0"/>
        <w:rPr>
          <w:rFonts w:ascii="Georgia" w:hAnsi="Georgia" w:cs="Garamond"/>
          <w:sz w:val="24"/>
          <w:szCs w:val="24"/>
        </w:rPr>
      </w:pPr>
      <w:r>
        <w:rPr>
          <w:rFonts w:ascii="Georgia" w:hAnsi="Georgia" w:cs="Garamond"/>
          <w:sz w:val="24"/>
          <w:szCs w:val="24"/>
        </w:rPr>
        <w:t xml:space="preserve">      </w:t>
      </w:r>
      <w:r w:rsidR="005E2E0A">
        <w:rPr>
          <w:rFonts w:ascii="Georgia" w:hAnsi="Georgia" w:cs="Garamond"/>
          <w:sz w:val="24"/>
          <w:szCs w:val="24"/>
        </w:rPr>
        <w:t xml:space="preserve"> </w:t>
      </w:r>
      <w:r w:rsidR="00206E3E" w:rsidRPr="006C0DC5">
        <w:rPr>
          <w:rFonts w:ascii="Georgia" w:hAnsi="Georgia" w:cs="Garamond"/>
          <w:sz w:val="24"/>
          <w:szCs w:val="24"/>
        </w:rPr>
        <w:t>Laboratory August 2025 Report</w:t>
      </w:r>
    </w:p>
    <w:p w14:paraId="2938E4E5" w14:textId="77777777" w:rsidR="00DB6E4B" w:rsidRPr="006C0DC5" w:rsidRDefault="00DB6E4B" w:rsidP="00564AE1">
      <w:pPr>
        <w:widowControl/>
        <w:autoSpaceDE w:val="0"/>
        <w:autoSpaceDN w:val="0"/>
        <w:adjustRightInd w:val="0"/>
        <w:rPr>
          <w:rFonts w:ascii="Georgia" w:hAnsi="Georgia" w:cs="Garamond"/>
          <w:sz w:val="24"/>
          <w:szCs w:val="24"/>
        </w:rPr>
      </w:pPr>
    </w:p>
    <w:p w14:paraId="088B3FF0" w14:textId="32B4461B" w:rsidR="002304B4" w:rsidRPr="006C0DC5" w:rsidRDefault="00290EF6" w:rsidP="000C211B">
      <w:pPr>
        <w:widowControl/>
        <w:autoSpaceDE w:val="0"/>
        <w:autoSpaceDN w:val="0"/>
        <w:adjustRightInd w:val="0"/>
        <w:ind w:firstLine="720"/>
        <w:rPr>
          <w:rFonts w:ascii="Georgia" w:hAnsi="Georgia" w:cs="Garamond"/>
          <w:sz w:val="24"/>
          <w:szCs w:val="24"/>
        </w:rPr>
      </w:pPr>
      <w:r w:rsidRPr="006C0DC5">
        <w:rPr>
          <w:rFonts w:ascii="Georgia" w:hAnsi="Georgia" w:cs="Garamond"/>
          <w:sz w:val="24"/>
          <w:szCs w:val="24"/>
        </w:rPr>
        <w:t>The Office of the Public Advocate (OPA) appreciates the opportunity to re</w:t>
      </w:r>
      <w:r w:rsidR="002304B4" w:rsidRPr="006C0DC5">
        <w:rPr>
          <w:rFonts w:ascii="Georgia" w:hAnsi="Georgia" w:cs="Garamond"/>
          <w:sz w:val="24"/>
          <w:szCs w:val="24"/>
        </w:rPr>
        <w:t xml:space="preserve">spond to the </w:t>
      </w:r>
      <w:bookmarkStart w:id="1" w:name="_Hlk206581175"/>
      <w:r w:rsidR="00743E37" w:rsidRPr="006C0DC5">
        <w:rPr>
          <w:rFonts w:ascii="Georgia" w:hAnsi="Georgia" w:cs="Garamond"/>
          <w:i/>
          <w:iCs/>
          <w:sz w:val="24"/>
          <w:szCs w:val="24"/>
        </w:rPr>
        <w:t xml:space="preserve">Winter </w:t>
      </w:r>
      <w:r w:rsidR="0021766F" w:rsidRPr="006C0DC5">
        <w:rPr>
          <w:rFonts w:ascii="Georgia" w:hAnsi="Georgia" w:cs="Garamond"/>
          <w:i/>
          <w:iCs/>
          <w:sz w:val="24"/>
          <w:szCs w:val="24"/>
        </w:rPr>
        <w:t xml:space="preserve">Demand Response Value, Potential, Suitability To Address Winter Energy Shortfalls, </w:t>
      </w:r>
      <w:r w:rsidR="000C211B">
        <w:rPr>
          <w:rFonts w:ascii="Georgia" w:hAnsi="Georgia" w:cs="Garamond"/>
          <w:i/>
          <w:iCs/>
          <w:sz w:val="24"/>
          <w:szCs w:val="24"/>
        </w:rPr>
        <w:t>a</w:t>
      </w:r>
      <w:r w:rsidR="0021766F" w:rsidRPr="006C0DC5">
        <w:rPr>
          <w:rFonts w:ascii="Georgia" w:hAnsi="Georgia" w:cs="Garamond"/>
          <w:i/>
          <w:iCs/>
          <w:sz w:val="24"/>
          <w:szCs w:val="24"/>
        </w:rPr>
        <w:t xml:space="preserve">nd Participation </w:t>
      </w:r>
      <w:r w:rsidR="000C211B">
        <w:rPr>
          <w:rFonts w:ascii="Georgia" w:hAnsi="Georgia" w:cs="Garamond"/>
          <w:i/>
          <w:iCs/>
          <w:sz w:val="24"/>
          <w:szCs w:val="24"/>
        </w:rPr>
        <w:t>i</w:t>
      </w:r>
      <w:r w:rsidR="0021766F" w:rsidRPr="006C0DC5">
        <w:rPr>
          <w:rFonts w:ascii="Georgia" w:hAnsi="Georgia" w:cs="Garamond"/>
          <w:i/>
          <w:iCs/>
          <w:sz w:val="24"/>
          <w:szCs w:val="24"/>
        </w:rPr>
        <w:t xml:space="preserve">n </w:t>
      </w:r>
      <w:r w:rsidR="00743E37" w:rsidRPr="006C0DC5">
        <w:rPr>
          <w:rFonts w:ascii="Georgia" w:hAnsi="Georgia" w:cs="Garamond"/>
          <w:i/>
          <w:iCs/>
          <w:sz w:val="24"/>
          <w:szCs w:val="24"/>
        </w:rPr>
        <w:t>ISO</w:t>
      </w:r>
      <w:r w:rsidR="0021766F" w:rsidRPr="006C0DC5">
        <w:rPr>
          <w:rFonts w:ascii="Georgia" w:hAnsi="Georgia" w:cs="Garamond"/>
          <w:i/>
          <w:iCs/>
          <w:sz w:val="24"/>
          <w:szCs w:val="24"/>
        </w:rPr>
        <w:t>-</w:t>
      </w:r>
      <w:r w:rsidR="00743E37" w:rsidRPr="006C0DC5">
        <w:rPr>
          <w:rFonts w:ascii="Georgia" w:hAnsi="Georgia" w:cs="Garamond"/>
          <w:i/>
          <w:iCs/>
          <w:sz w:val="24"/>
          <w:szCs w:val="24"/>
        </w:rPr>
        <w:t xml:space="preserve">NE </w:t>
      </w:r>
      <w:r w:rsidR="0021766F" w:rsidRPr="006C0DC5">
        <w:rPr>
          <w:rFonts w:ascii="Georgia" w:hAnsi="Georgia" w:cs="Garamond"/>
          <w:i/>
          <w:iCs/>
          <w:sz w:val="24"/>
          <w:szCs w:val="24"/>
        </w:rPr>
        <w:t xml:space="preserve">Wholesale Markets </w:t>
      </w:r>
      <w:r w:rsidR="002304B4" w:rsidRPr="006C0DC5">
        <w:rPr>
          <w:rFonts w:ascii="Georgia" w:hAnsi="Georgia" w:cs="Garamond"/>
          <w:sz w:val="24"/>
          <w:szCs w:val="24"/>
        </w:rPr>
        <w:t>Report</w:t>
      </w:r>
      <w:r w:rsidR="00175239">
        <w:rPr>
          <w:rFonts w:ascii="Georgia" w:hAnsi="Georgia" w:cs="Garamond"/>
          <w:sz w:val="24"/>
          <w:szCs w:val="24"/>
        </w:rPr>
        <w:t xml:space="preserve"> (Report).</w:t>
      </w:r>
      <w:r w:rsidR="00175239">
        <w:rPr>
          <w:rStyle w:val="FootnoteReference"/>
          <w:rFonts w:ascii="Georgia" w:hAnsi="Georgia" w:cs="Garamond"/>
          <w:sz w:val="24"/>
          <w:szCs w:val="24"/>
        </w:rPr>
        <w:footnoteReference w:id="1"/>
      </w:r>
      <w:r w:rsidR="00131EA3">
        <w:rPr>
          <w:rFonts w:ascii="Georgia" w:hAnsi="Georgia" w:cs="Garamond"/>
          <w:sz w:val="24"/>
          <w:szCs w:val="24"/>
        </w:rPr>
        <w:t xml:space="preserve"> </w:t>
      </w:r>
      <w:bookmarkEnd w:id="1"/>
      <w:r w:rsidR="00917E01" w:rsidRPr="006C0DC5">
        <w:rPr>
          <w:rFonts w:ascii="Georgia" w:hAnsi="Georgia" w:cs="Garamond"/>
          <w:sz w:val="24"/>
          <w:szCs w:val="24"/>
        </w:rPr>
        <w:t xml:space="preserve">The OPA takes this opportunity to identify some </w:t>
      </w:r>
      <w:r w:rsidR="002B60E4" w:rsidRPr="006C0DC5">
        <w:rPr>
          <w:rFonts w:ascii="Georgia" w:hAnsi="Georgia" w:cs="Garamond"/>
          <w:sz w:val="24"/>
          <w:szCs w:val="24"/>
        </w:rPr>
        <w:t>challenges</w:t>
      </w:r>
      <w:r w:rsidR="00917E01" w:rsidRPr="006C0DC5">
        <w:rPr>
          <w:rFonts w:ascii="Georgia" w:hAnsi="Georgia" w:cs="Garamond"/>
          <w:sz w:val="24"/>
          <w:szCs w:val="24"/>
        </w:rPr>
        <w:t xml:space="preserve"> and areas for follow up </w:t>
      </w:r>
      <w:r w:rsidR="001528DF" w:rsidRPr="006C0DC5">
        <w:rPr>
          <w:rFonts w:ascii="Georgia" w:hAnsi="Georgia" w:cs="Garamond"/>
          <w:sz w:val="24"/>
          <w:szCs w:val="24"/>
        </w:rPr>
        <w:t xml:space="preserve">regarding Winter Demand Response potential for the </w:t>
      </w:r>
      <w:r w:rsidR="004D6594">
        <w:rPr>
          <w:rFonts w:ascii="Georgia" w:hAnsi="Georgia" w:cs="Garamond"/>
          <w:sz w:val="24"/>
          <w:szCs w:val="24"/>
        </w:rPr>
        <w:t xml:space="preserve">New England </w:t>
      </w:r>
      <w:r w:rsidR="001528DF" w:rsidRPr="006C0DC5">
        <w:rPr>
          <w:rFonts w:ascii="Georgia" w:hAnsi="Georgia" w:cs="Garamond"/>
          <w:sz w:val="24"/>
          <w:szCs w:val="24"/>
        </w:rPr>
        <w:t xml:space="preserve">residential sector. </w:t>
      </w:r>
    </w:p>
    <w:p w14:paraId="1DB37076" w14:textId="77777777" w:rsidR="00AD335A" w:rsidRPr="006C0DC5" w:rsidRDefault="00AD335A" w:rsidP="00564AE1">
      <w:pPr>
        <w:widowControl/>
        <w:autoSpaceDE w:val="0"/>
        <w:autoSpaceDN w:val="0"/>
        <w:adjustRightInd w:val="0"/>
        <w:rPr>
          <w:rFonts w:ascii="Georgia" w:hAnsi="Georgia" w:cs="Garamond"/>
          <w:sz w:val="24"/>
          <w:szCs w:val="24"/>
        </w:rPr>
      </w:pPr>
    </w:p>
    <w:p w14:paraId="4B08F93C" w14:textId="3B91E380" w:rsidR="004978A0" w:rsidRPr="006C0DC5" w:rsidRDefault="00F831CC" w:rsidP="004978A0">
      <w:pPr>
        <w:pStyle w:val="ListParagraph"/>
        <w:widowControl/>
        <w:numPr>
          <w:ilvl w:val="0"/>
          <w:numId w:val="40"/>
        </w:numPr>
        <w:autoSpaceDE w:val="0"/>
        <w:autoSpaceDN w:val="0"/>
        <w:adjustRightInd w:val="0"/>
        <w:rPr>
          <w:rFonts w:ascii="Georgia" w:hAnsi="Georgia" w:cs="Garamond"/>
          <w:sz w:val="24"/>
          <w:szCs w:val="24"/>
        </w:rPr>
      </w:pPr>
      <w:r>
        <w:rPr>
          <w:rFonts w:ascii="Georgia" w:hAnsi="Georgia" w:cs="Garamond"/>
          <w:sz w:val="24"/>
          <w:szCs w:val="24"/>
        </w:rPr>
        <w:t>Winter Demand Response Based on Dynamic Rates Will Be Limited Because</w:t>
      </w:r>
      <w:r w:rsidR="00A353A5" w:rsidRPr="006C0DC5">
        <w:rPr>
          <w:rFonts w:ascii="Georgia" w:hAnsi="Georgia" w:cs="Garamond"/>
          <w:sz w:val="24"/>
          <w:szCs w:val="24"/>
        </w:rPr>
        <w:t xml:space="preserve"> </w:t>
      </w:r>
      <w:r w:rsidR="004978A0" w:rsidRPr="006C0DC5">
        <w:rPr>
          <w:rFonts w:ascii="Georgia" w:hAnsi="Georgia" w:cs="Garamond"/>
          <w:sz w:val="24"/>
          <w:szCs w:val="24"/>
        </w:rPr>
        <w:t xml:space="preserve">Heat </w:t>
      </w:r>
      <w:r w:rsidR="00F72002" w:rsidRPr="006C0DC5">
        <w:rPr>
          <w:rFonts w:ascii="Georgia" w:hAnsi="Georgia" w:cs="Garamond"/>
          <w:sz w:val="24"/>
          <w:szCs w:val="24"/>
        </w:rPr>
        <w:t>P</w:t>
      </w:r>
      <w:r w:rsidR="004978A0" w:rsidRPr="006C0DC5">
        <w:rPr>
          <w:rFonts w:ascii="Georgia" w:hAnsi="Georgia" w:cs="Garamond"/>
          <w:sz w:val="24"/>
          <w:szCs w:val="24"/>
        </w:rPr>
        <w:t xml:space="preserve">umps </w:t>
      </w:r>
      <w:r w:rsidR="00B205C8" w:rsidRPr="006C0DC5">
        <w:rPr>
          <w:rFonts w:ascii="Georgia" w:hAnsi="Georgia" w:cs="Garamond"/>
          <w:sz w:val="24"/>
          <w:szCs w:val="24"/>
        </w:rPr>
        <w:t xml:space="preserve">Are Not Designed To Be Turned On and Off During </w:t>
      </w:r>
      <w:r w:rsidR="00F72002" w:rsidRPr="006C0DC5">
        <w:rPr>
          <w:rFonts w:ascii="Georgia" w:hAnsi="Georgia" w:cs="Garamond"/>
          <w:sz w:val="24"/>
          <w:szCs w:val="24"/>
        </w:rPr>
        <w:t>a</w:t>
      </w:r>
      <w:r w:rsidR="00B205C8" w:rsidRPr="006C0DC5">
        <w:rPr>
          <w:rFonts w:ascii="Georgia" w:hAnsi="Georgia" w:cs="Garamond"/>
          <w:sz w:val="24"/>
          <w:szCs w:val="24"/>
        </w:rPr>
        <w:t xml:space="preserve"> 24 Hour Day</w:t>
      </w:r>
    </w:p>
    <w:p w14:paraId="24BE9A28" w14:textId="3BB433C9" w:rsidR="000A1EBC" w:rsidRPr="006C0DC5" w:rsidRDefault="000A1EBC" w:rsidP="00312F9C">
      <w:pPr>
        <w:widowControl/>
        <w:autoSpaceDE w:val="0"/>
        <w:autoSpaceDN w:val="0"/>
        <w:adjustRightInd w:val="0"/>
        <w:rPr>
          <w:rFonts w:ascii="Georgia" w:hAnsi="Georgia" w:cs="Garamond"/>
          <w:sz w:val="24"/>
          <w:szCs w:val="24"/>
        </w:rPr>
      </w:pPr>
    </w:p>
    <w:p w14:paraId="5DEEB41C" w14:textId="31E11EB5" w:rsidR="004C129E" w:rsidRPr="006C0DC5" w:rsidRDefault="00312F9C" w:rsidP="006E7CA5">
      <w:pPr>
        <w:widowControl/>
        <w:autoSpaceDE w:val="0"/>
        <w:autoSpaceDN w:val="0"/>
        <w:adjustRightInd w:val="0"/>
        <w:rPr>
          <w:rFonts w:ascii="Georgia" w:hAnsi="Georgia" w:cs="Garamond"/>
          <w:sz w:val="24"/>
          <w:szCs w:val="24"/>
        </w:rPr>
      </w:pPr>
      <w:r w:rsidRPr="006C0DC5">
        <w:rPr>
          <w:rFonts w:ascii="Georgia" w:hAnsi="Georgia" w:cs="Garamond"/>
          <w:sz w:val="24"/>
          <w:szCs w:val="24"/>
        </w:rPr>
        <w:t>T</w:t>
      </w:r>
      <w:r w:rsidR="00340A25" w:rsidRPr="006C0DC5">
        <w:rPr>
          <w:rFonts w:ascii="Georgia" w:hAnsi="Georgia" w:cs="Garamond"/>
          <w:sz w:val="24"/>
          <w:szCs w:val="24"/>
        </w:rPr>
        <w:t xml:space="preserve">he Report states </w:t>
      </w:r>
      <w:r w:rsidR="004A6FE5" w:rsidRPr="006C0DC5">
        <w:rPr>
          <w:rFonts w:ascii="Georgia" w:hAnsi="Georgia" w:cs="Garamond"/>
          <w:sz w:val="24"/>
          <w:szCs w:val="24"/>
        </w:rPr>
        <w:t xml:space="preserve">there is limited adoption of </w:t>
      </w:r>
      <w:r w:rsidR="009F6ECF" w:rsidRPr="006C0DC5">
        <w:rPr>
          <w:rFonts w:ascii="Georgia" w:hAnsi="Georgia" w:cs="Garamond"/>
          <w:sz w:val="24"/>
          <w:szCs w:val="24"/>
        </w:rPr>
        <w:t>winter dynamic rates in New England,</w:t>
      </w:r>
      <w:r w:rsidR="005B2317" w:rsidRPr="006C0DC5">
        <w:rPr>
          <w:rFonts w:ascii="Georgia" w:hAnsi="Georgia" w:cs="Garamond"/>
          <w:sz w:val="24"/>
          <w:szCs w:val="24"/>
        </w:rPr>
        <w:t xml:space="preserve"> attributing this to</w:t>
      </w:r>
      <w:r w:rsidR="009F6ECF" w:rsidRPr="006C0DC5">
        <w:rPr>
          <w:rFonts w:ascii="Georgia" w:hAnsi="Georgia" w:cs="Garamond"/>
          <w:sz w:val="24"/>
          <w:szCs w:val="24"/>
        </w:rPr>
        <w:t xml:space="preserve"> the lack of Advanced Metering Infrastructure (AMI)</w:t>
      </w:r>
      <w:r w:rsidR="00B240FD" w:rsidRPr="006C0DC5">
        <w:rPr>
          <w:rFonts w:ascii="Georgia" w:hAnsi="Georgia" w:cs="Garamond"/>
          <w:sz w:val="24"/>
          <w:szCs w:val="24"/>
        </w:rPr>
        <w:t>.</w:t>
      </w:r>
      <w:r w:rsidR="00CB04A9" w:rsidRPr="006C0DC5">
        <w:rPr>
          <w:rStyle w:val="FootnoteReference"/>
          <w:rFonts w:ascii="Georgia" w:hAnsi="Georgia" w:cs="Garamond"/>
          <w:sz w:val="24"/>
          <w:szCs w:val="24"/>
        </w:rPr>
        <w:footnoteReference w:id="2"/>
      </w:r>
      <w:r w:rsidR="009F6ECF" w:rsidRPr="006C0DC5">
        <w:rPr>
          <w:rFonts w:ascii="Georgia" w:hAnsi="Georgia" w:cs="Garamond"/>
          <w:sz w:val="24"/>
          <w:szCs w:val="24"/>
        </w:rPr>
        <w:t xml:space="preserve"> </w:t>
      </w:r>
      <w:r w:rsidR="00564AE1" w:rsidRPr="006C0DC5">
        <w:rPr>
          <w:rFonts w:ascii="Georgia" w:hAnsi="Georgia" w:cs="Garamond"/>
          <w:sz w:val="24"/>
          <w:szCs w:val="24"/>
        </w:rPr>
        <w:t xml:space="preserve">There </w:t>
      </w:r>
      <w:r w:rsidR="00B61BE3">
        <w:rPr>
          <w:rFonts w:ascii="Georgia" w:hAnsi="Georgia" w:cs="Garamond"/>
          <w:sz w:val="24"/>
          <w:szCs w:val="24"/>
        </w:rPr>
        <w:t>is</w:t>
      </w:r>
      <w:r w:rsidR="00564AE1" w:rsidRPr="006C0DC5">
        <w:rPr>
          <w:rFonts w:ascii="Georgia" w:hAnsi="Georgia" w:cs="Garamond"/>
          <w:sz w:val="24"/>
          <w:szCs w:val="24"/>
        </w:rPr>
        <w:t xml:space="preserve"> </w:t>
      </w:r>
      <w:r w:rsidR="00B61BE3">
        <w:rPr>
          <w:rFonts w:ascii="Georgia" w:hAnsi="Georgia" w:cs="Garamond"/>
          <w:sz w:val="24"/>
          <w:szCs w:val="24"/>
        </w:rPr>
        <w:t>an</w:t>
      </w:r>
      <w:r w:rsidR="0097634D" w:rsidRPr="006C0DC5">
        <w:rPr>
          <w:rFonts w:ascii="Georgia" w:hAnsi="Georgia" w:cs="Garamond"/>
          <w:sz w:val="24"/>
          <w:szCs w:val="24"/>
        </w:rPr>
        <w:t xml:space="preserve">other </w:t>
      </w:r>
      <w:r w:rsidR="00564AE1" w:rsidRPr="006C0DC5">
        <w:rPr>
          <w:rFonts w:ascii="Georgia" w:hAnsi="Georgia" w:cs="Garamond"/>
          <w:sz w:val="24"/>
          <w:szCs w:val="24"/>
        </w:rPr>
        <w:t xml:space="preserve">significant challenge to </w:t>
      </w:r>
      <w:r w:rsidR="0097634D" w:rsidRPr="006C0DC5">
        <w:rPr>
          <w:rFonts w:ascii="Georgia" w:hAnsi="Georgia" w:cs="Garamond"/>
          <w:sz w:val="24"/>
          <w:szCs w:val="24"/>
        </w:rPr>
        <w:t>implementing winter</w:t>
      </w:r>
      <w:r w:rsidR="00564AE1" w:rsidRPr="006C0DC5">
        <w:rPr>
          <w:rFonts w:ascii="Georgia" w:hAnsi="Georgia" w:cs="Garamond"/>
          <w:sz w:val="24"/>
          <w:szCs w:val="24"/>
        </w:rPr>
        <w:t xml:space="preserve"> demand response </w:t>
      </w:r>
      <w:r w:rsidR="0097634D" w:rsidRPr="006C0DC5">
        <w:rPr>
          <w:rFonts w:ascii="Georgia" w:hAnsi="Georgia" w:cs="Garamond"/>
          <w:sz w:val="24"/>
          <w:szCs w:val="24"/>
        </w:rPr>
        <w:t>programs</w:t>
      </w:r>
      <w:r w:rsidR="00340B6C">
        <w:rPr>
          <w:rFonts w:ascii="Georgia" w:hAnsi="Georgia" w:cs="Garamond"/>
          <w:sz w:val="24"/>
          <w:szCs w:val="24"/>
        </w:rPr>
        <w:t xml:space="preserve"> in New England</w:t>
      </w:r>
      <w:r w:rsidR="00F72002" w:rsidRPr="006C0DC5">
        <w:rPr>
          <w:rFonts w:ascii="Georgia" w:hAnsi="Georgia" w:cs="Garamond"/>
          <w:sz w:val="24"/>
          <w:szCs w:val="24"/>
        </w:rPr>
        <w:t xml:space="preserve">. </w:t>
      </w:r>
      <w:r w:rsidR="005B0947" w:rsidRPr="006C0DC5">
        <w:rPr>
          <w:rFonts w:ascii="Georgia" w:hAnsi="Georgia" w:cs="Garamond"/>
          <w:sz w:val="24"/>
          <w:szCs w:val="24"/>
        </w:rPr>
        <w:t>Heat pumps</w:t>
      </w:r>
      <w:r w:rsidR="00C20D80">
        <w:rPr>
          <w:rFonts w:ascii="Georgia" w:hAnsi="Georgia" w:cs="Garamond"/>
          <w:sz w:val="24"/>
          <w:szCs w:val="24"/>
        </w:rPr>
        <w:t>, which are driving increases in winter load forecasts,</w:t>
      </w:r>
      <w:r w:rsidR="006F2F54">
        <w:rPr>
          <w:rFonts w:ascii="Georgia" w:hAnsi="Georgia" w:cs="Garamond"/>
          <w:sz w:val="24"/>
          <w:szCs w:val="24"/>
        </w:rPr>
        <w:t xml:space="preserve"> </w:t>
      </w:r>
      <w:r w:rsidR="005B0947" w:rsidRPr="006C0DC5">
        <w:rPr>
          <w:rFonts w:ascii="Georgia" w:hAnsi="Georgia" w:cs="Garamond"/>
          <w:sz w:val="24"/>
          <w:szCs w:val="24"/>
        </w:rPr>
        <w:t>are not designed to be turned on and off during a 24-hour day</w:t>
      </w:r>
      <w:r w:rsidR="00445DC3">
        <w:rPr>
          <w:rFonts w:ascii="Georgia" w:hAnsi="Georgia" w:cs="Garamond"/>
          <w:sz w:val="24"/>
          <w:szCs w:val="24"/>
        </w:rPr>
        <w:t xml:space="preserve"> in the winter</w:t>
      </w:r>
      <w:r w:rsidR="005B0947" w:rsidRPr="006C0DC5">
        <w:rPr>
          <w:rFonts w:ascii="Georgia" w:hAnsi="Georgia" w:cs="Garamond"/>
          <w:sz w:val="24"/>
          <w:szCs w:val="24"/>
        </w:rPr>
        <w:t xml:space="preserve">. </w:t>
      </w:r>
    </w:p>
    <w:p w14:paraId="6A9BBF44" w14:textId="77777777" w:rsidR="0089179F" w:rsidRPr="006C0DC5" w:rsidRDefault="0089179F" w:rsidP="00564AE1">
      <w:pPr>
        <w:widowControl/>
        <w:autoSpaceDE w:val="0"/>
        <w:autoSpaceDN w:val="0"/>
        <w:adjustRightInd w:val="0"/>
        <w:rPr>
          <w:rFonts w:ascii="Georgia" w:hAnsi="Georgia" w:cs="Garamond"/>
          <w:sz w:val="24"/>
          <w:szCs w:val="24"/>
        </w:rPr>
      </w:pPr>
    </w:p>
    <w:p w14:paraId="3CF49400" w14:textId="082BD388" w:rsidR="0021224B" w:rsidRPr="006C0DC5" w:rsidRDefault="00E54EC1" w:rsidP="0021224B">
      <w:pPr>
        <w:widowControl/>
        <w:autoSpaceDE w:val="0"/>
        <w:autoSpaceDN w:val="0"/>
        <w:adjustRightInd w:val="0"/>
        <w:rPr>
          <w:rFonts w:ascii="Georgia" w:hAnsi="Georgia" w:cs="Garamond"/>
          <w:sz w:val="24"/>
          <w:szCs w:val="24"/>
        </w:rPr>
      </w:pPr>
      <w:r>
        <w:rPr>
          <w:rFonts w:ascii="Georgia" w:hAnsi="Georgia" w:cs="Garamond"/>
          <w:sz w:val="24"/>
          <w:szCs w:val="24"/>
        </w:rPr>
        <w:t>Specifically, t</w:t>
      </w:r>
      <w:r w:rsidR="0021224B" w:rsidRPr="006C0DC5">
        <w:rPr>
          <w:rFonts w:ascii="Georgia" w:hAnsi="Georgia" w:cs="Garamond"/>
          <w:sz w:val="24"/>
          <w:szCs w:val="24"/>
        </w:rPr>
        <w:t xml:space="preserve">he </w:t>
      </w:r>
      <w:r w:rsidR="00117E0C" w:rsidRPr="006C0DC5">
        <w:rPr>
          <w:rFonts w:ascii="Georgia" w:hAnsi="Georgia" w:cs="Garamond"/>
          <w:sz w:val="24"/>
          <w:szCs w:val="24"/>
        </w:rPr>
        <w:t xml:space="preserve">proper operation of heat pumps </w:t>
      </w:r>
      <w:r w:rsidR="0097465B" w:rsidRPr="006C0DC5">
        <w:rPr>
          <w:rFonts w:ascii="Georgia" w:hAnsi="Georgia" w:cs="Garamond"/>
          <w:sz w:val="24"/>
          <w:szCs w:val="24"/>
        </w:rPr>
        <w:t xml:space="preserve">does not </w:t>
      </w:r>
      <w:r w:rsidR="00FD33D1" w:rsidRPr="006C0DC5">
        <w:rPr>
          <w:rFonts w:ascii="Georgia" w:hAnsi="Georgia" w:cs="Garamond"/>
          <w:sz w:val="24"/>
          <w:szCs w:val="24"/>
        </w:rPr>
        <w:t xml:space="preserve">support a daily reduction </w:t>
      </w:r>
      <w:r w:rsidR="00F9084F" w:rsidRPr="006C0DC5">
        <w:rPr>
          <w:rFonts w:ascii="Georgia" w:hAnsi="Georgia" w:cs="Garamond"/>
          <w:sz w:val="24"/>
          <w:szCs w:val="24"/>
        </w:rPr>
        <w:t>of use during peak</w:t>
      </w:r>
      <w:r w:rsidR="00B14E31" w:rsidRPr="006C0DC5">
        <w:rPr>
          <w:rFonts w:ascii="Georgia" w:hAnsi="Georgia" w:cs="Garamond"/>
          <w:sz w:val="24"/>
          <w:szCs w:val="24"/>
        </w:rPr>
        <w:t xml:space="preserve">s. </w:t>
      </w:r>
      <w:r w:rsidR="00F9084F" w:rsidRPr="006C0DC5">
        <w:rPr>
          <w:rFonts w:ascii="Georgia" w:hAnsi="Georgia" w:cs="Garamond"/>
          <w:sz w:val="24"/>
          <w:szCs w:val="24"/>
        </w:rPr>
        <w:t xml:space="preserve">The </w:t>
      </w:r>
      <w:r w:rsidR="00AA2403" w:rsidRPr="006C0DC5">
        <w:rPr>
          <w:rFonts w:ascii="Georgia" w:hAnsi="Georgia" w:cs="Garamond"/>
          <w:sz w:val="24"/>
          <w:szCs w:val="24"/>
        </w:rPr>
        <w:t>International Association of Certified Home Inspectors</w:t>
      </w:r>
      <w:r w:rsidR="0076026F" w:rsidRPr="006C0DC5">
        <w:rPr>
          <w:rFonts w:ascii="Georgia" w:hAnsi="Georgia" w:cs="Garamond"/>
          <w:sz w:val="24"/>
          <w:szCs w:val="24"/>
        </w:rPr>
        <w:t xml:space="preserve"> states </w:t>
      </w:r>
      <w:r w:rsidR="0021224B" w:rsidRPr="006C0DC5">
        <w:rPr>
          <w:rFonts w:ascii="Georgia" w:hAnsi="Georgia" w:cs="Garamond"/>
          <w:sz w:val="24"/>
          <w:szCs w:val="24"/>
        </w:rPr>
        <w:t>“turning your heat pump off can interfere with the defrost cycle, potentially causing damage and reducing efficiency.”</w:t>
      </w:r>
      <w:r w:rsidR="0021224B" w:rsidRPr="006C0DC5">
        <w:rPr>
          <w:rFonts w:ascii="Georgia" w:hAnsi="Georgia" w:cs="Garamond"/>
          <w:sz w:val="24"/>
          <w:szCs w:val="24"/>
          <w:vertAlign w:val="superscript"/>
        </w:rPr>
        <w:footnoteReference w:id="3"/>
      </w:r>
      <w:r w:rsidR="0021224B" w:rsidRPr="006C0DC5">
        <w:rPr>
          <w:rFonts w:ascii="Georgia" w:hAnsi="Georgia" w:cs="Garamond"/>
          <w:sz w:val="24"/>
          <w:szCs w:val="24"/>
        </w:rPr>
        <w:t> Heat pumps use a defrost cycle to remove ice buildup on the outdoor unit</w:t>
      </w:r>
      <w:r w:rsidR="0049206C">
        <w:rPr>
          <w:rFonts w:ascii="Georgia" w:hAnsi="Georgia" w:cs="Garamond"/>
          <w:sz w:val="24"/>
          <w:szCs w:val="24"/>
        </w:rPr>
        <w:t>’</w:t>
      </w:r>
      <w:r w:rsidR="0021224B" w:rsidRPr="006C0DC5">
        <w:rPr>
          <w:rFonts w:ascii="Georgia" w:hAnsi="Georgia" w:cs="Garamond"/>
          <w:sz w:val="24"/>
          <w:szCs w:val="24"/>
        </w:rPr>
        <w:t xml:space="preserve">s coils, which is essential for proper operation in cold weather. If </w:t>
      </w:r>
      <w:r w:rsidR="00E87CFE" w:rsidRPr="006C0DC5">
        <w:rPr>
          <w:rFonts w:ascii="Georgia" w:hAnsi="Georgia" w:cs="Garamond"/>
          <w:sz w:val="24"/>
          <w:szCs w:val="24"/>
        </w:rPr>
        <w:t>customers</w:t>
      </w:r>
      <w:r w:rsidR="0021224B" w:rsidRPr="006C0DC5">
        <w:rPr>
          <w:rFonts w:ascii="Georgia" w:hAnsi="Georgia" w:cs="Garamond"/>
          <w:sz w:val="24"/>
          <w:szCs w:val="24"/>
        </w:rPr>
        <w:t xml:space="preserve"> turn the heat pump off, it </w:t>
      </w:r>
      <w:r w:rsidR="002231E6" w:rsidRPr="006C0DC5">
        <w:rPr>
          <w:rFonts w:ascii="Georgia" w:hAnsi="Georgia" w:cs="Garamond"/>
          <w:sz w:val="24"/>
          <w:szCs w:val="24"/>
        </w:rPr>
        <w:t>can’t</w:t>
      </w:r>
      <w:r w:rsidR="0021224B" w:rsidRPr="006C0DC5">
        <w:rPr>
          <w:rFonts w:ascii="Georgia" w:hAnsi="Georgia" w:cs="Garamond"/>
          <w:sz w:val="24"/>
          <w:szCs w:val="24"/>
        </w:rPr>
        <w:t xml:space="preserve"> initiate or complete the defrost cycle when needed, leading to ice accumulation and reduced heating performance.</w:t>
      </w:r>
      <w:r w:rsidR="0021224B" w:rsidRPr="006C0DC5">
        <w:rPr>
          <w:rFonts w:ascii="Georgia" w:hAnsi="Georgia" w:cs="Garamond"/>
          <w:sz w:val="24"/>
          <w:szCs w:val="24"/>
          <w:vertAlign w:val="superscript"/>
        </w:rPr>
        <w:footnoteReference w:id="4"/>
      </w:r>
    </w:p>
    <w:p w14:paraId="0DDE93F4" w14:textId="77777777" w:rsidR="0021224B" w:rsidRPr="006C0DC5" w:rsidRDefault="0021224B" w:rsidP="0021224B">
      <w:pPr>
        <w:widowControl/>
        <w:autoSpaceDE w:val="0"/>
        <w:autoSpaceDN w:val="0"/>
        <w:adjustRightInd w:val="0"/>
        <w:rPr>
          <w:rFonts w:ascii="Georgia" w:hAnsi="Georgia" w:cs="Garamond"/>
          <w:sz w:val="24"/>
          <w:szCs w:val="24"/>
        </w:rPr>
      </w:pPr>
    </w:p>
    <w:p w14:paraId="63F3BB70" w14:textId="145EC494" w:rsidR="00FC06D8" w:rsidRPr="006C0DC5" w:rsidRDefault="000438D0" w:rsidP="00FC06D8">
      <w:pPr>
        <w:widowControl/>
        <w:autoSpaceDE w:val="0"/>
        <w:autoSpaceDN w:val="0"/>
        <w:adjustRightInd w:val="0"/>
        <w:rPr>
          <w:rFonts w:ascii="Georgia" w:hAnsi="Georgia" w:cs="Garamond"/>
          <w:sz w:val="24"/>
          <w:szCs w:val="24"/>
        </w:rPr>
      </w:pPr>
      <w:r w:rsidRPr="006C0DC5">
        <w:rPr>
          <w:rFonts w:ascii="Georgia" w:hAnsi="Georgia" w:cs="Garamond"/>
          <w:sz w:val="24"/>
          <w:szCs w:val="24"/>
        </w:rPr>
        <w:t xml:space="preserve">The instructions to homeowners installing heat pumps </w:t>
      </w:r>
      <w:r w:rsidR="00C3458D" w:rsidRPr="006C0DC5">
        <w:rPr>
          <w:rFonts w:ascii="Georgia" w:hAnsi="Georgia" w:cs="Garamond"/>
          <w:sz w:val="24"/>
          <w:szCs w:val="24"/>
        </w:rPr>
        <w:t>are</w:t>
      </w:r>
      <w:r w:rsidRPr="006C0DC5">
        <w:rPr>
          <w:rFonts w:ascii="Georgia" w:hAnsi="Georgia" w:cs="Garamond"/>
          <w:sz w:val="24"/>
          <w:szCs w:val="24"/>
        </w:rPr>
        <w:t xml:space="preserve"> to leave them at a constant temperature</w:t>
      </w:r>
      <w:r w:rsidR="00DB506D" w:rsidRPr="006C0DC5">
        <w:rPr>
          <w:rFonts w:ascii="Georgia" w:hAnsi="Georgia" w:cs="Garamond"/>
          <w:sz w:val="24"/>
          <w:szCs w:val="24"/>
        </w:rPr>
        <w:t>.</w:t>
      </w:r>
      <w:r w:rsidR="00564AE1" w:rsidRPr="006C0DC5">
        <w:rPr>
          <w:rFonts w:ascii="Georgia" w:hAnsi="Georgia" w:cs="Garamond"/>
          <w:sz w:val="24"/>
          <w:szCs w:val="24"/>
        </w:rPr>
        <w:t xml:space="preserve"> Efficiency Maine Trust recommends </w:t>
      </w:r>
      <w:r w:rsidR="00FC06D8" w:rsidRPr="006C0DC5">
        <w:rPr>
          <w:rFonts w:ascii="Georgia" w:hAnsi="Georgia" w:cs="Garamond"/>
          <w:sz w:val="24"/>
          <w:szCs w:val="24"/>
        </w:rPr>
        <w:t>users</w:t>
      </w:r>
      <w:r w:rsidR="00564AE1" w:rsidRPr="006C0DC5">
        <w:rPr>
          <w:rFonts w:ascii="Georgia" w:hAnsi="Georgia" w:cs="Garamond"/>
          <w:sz w:val="24"/>
          <w:szCs w:val="24"/>
        </w:rPr>
        <w:t xml:space="preserve"> “set it and forget it”</w:t>
      </w:r>
      <w:r w:rsidR="002B08CB">
        <w:rPr>
          <w:rFonts w:ascii="Georgia" w:hAnsi="Georgia" w:cs="Garamond"/>
          <w:sz w:val="24"/>
          <w:szCs w:val="24"/>
        </w:rPr>
        <w:t>:</w:t>
      </w:r>
      <w:r w:rsidR="00FC06D8" w:rsidRPr="006C0DC5">
        <w:rPr>
          <w:rFonts w:ascii="Georgia" w:hAnsi="Georgia" w:cs="Garamond"/>
          <w:sz w:val="24"/>
          <w:szCs w:val="24"/>
        </w:rPr>
        <w:t xml:space="preserve"> </w:t>
      </w:r>
    </w:p>
    <w:p w14:paraId="505E5023" w14:textId="77777777" w:rsidR="00FC06D8" w:rsidRPr="006C0DC5" w:rsidRDefault="00FC06D8" w:rsidP="00FC06D8">
      <w:pPr>
        <w:widowControl/>
        <w:autoSpaceDE w:val="0"/>
        <w:autoSpaceDN w:val="0"/>
        <w:adjustRightInd w:val="0"/>
        <w:rPr>
          <w:rFonts w:ascii="Georgia" w:hAnsi="Georgia" w:cs="Garamond"/>
          <w:sz w:val="24"/>
          <w:szCs w:val="24"/>
        </w:rPr>
      </w:pPr>
    </w:p>
    <w:p w14:paraId="724E3F3C" w14:textId="39366840" w:rsidR="00564AE1" w:rsidRPr="006C0DC5" w:rsidRDefault="00FC06D8" w:rsidP="00126F75">
      <w:pPr>
        <w:widowControl/>
        <w:autoSpaceDE w:val="0"/>
        <w:autoSpaceDN w:val="0"/>
        <w:adjustRightInd w:val="0"/>
        <w:ind w:left="720"/>
        <w:rPr>
          <w:rFonts w:ascii="Georgia" w:hAnsi="Georgia" w:cs="Garamond"/>
          <w:sz w:val="24"/>
          <w:szCs w:val="24"/>
        </w:rPr>
      </w:pPr>
      <w:r w:rsidRPr="006C0DC5">
        <w:rPr>
          <w:rFonts w:ascii="Georgia" w:hAnsi="Georgia" w:cs="Garamond"/>
          <w:sz w:val="24"/>
          <w:szCs w:val="24"/>
        </w:rPr>
        <w:lastRenderedPageBreak/>
        <w:t>Heat pumps operate most efficiently when holding a steady temperature. Turning heat pumps down when you’re away or asleep may actually use more energy than leaving them on. The reason is that they have to work harder to come back to the desired temperature than they do to maintain it. It’s best to set them at a comfortable temperature and forget it. Adjusting the temperature for short periods of time, such as overnight, will not save money with heat pumps.</w:t>
      </w:r>
      <w:r w:rsidR="00564AE1" w:rsidRPr="006C0DC5">
        <w:rPr>
          <w:rFonts w:ascii="Georgia" w:hAnsi="Georgia" w:cs="Garamond"/>
          <w:b/>
          <w:bCs/>
          <w:sz w:val="24"/>
          <w:szCs w:val="24"/>
          <w:vertAlign w:val="superscript"/>
        </w:rPr>
        <w:footnoteReference w:id="5"/>
      </w:r>
    </w:p>
    <w:p w14:paraId="614F1633" w14:textId="77777777" w:rsidR="00126F75" w:rsidRPr="006C0DC5" w:rsidRDefault="00126F75" w:rsidP="00126F75">
      <w:pPr>
        <w:widowControl/>
        <w:autoSpaceDE w:val="0"/>
        <w:autoSpaceDN w:val="0"/>
        <w:adjustRightInd w:val="0"/>
        <w:ind w:left="720"/>
        <w:rPr>
          <w:rFonts w:ascii="Georgia" w:hAnsi="Georgia" w:cs="Garamond"/>
          <w:sz w:val="24"/>
          <w:szCs w:val="24"/>
        </w:rPr>
      </w:pPr>
    </w:p>
    <w:p w14:paraId="1D28DDFC" w14:textId="0B1A045E" w:rsidR="00564AE1" w:rsidRPr="006C0DC5" w:rsidRDefault="005615C9" w:rsidP="006E7CA5">
      <w:pPr>
        <w:widowControl/>
        <w:autoSpaceDE w:val="0"/>
        <w:autoSpaceDN w:val="0"/>
        <w:adjustRightInd w:val="0"/>
        <w:rPr>
          <w:rFonts w:ascii="Georgia" w:hAnsi="Georgia" w:cs="Garamond"/>
          <w:sz w:val="24"/>
          <w:szCs w:val="24"/>
        </w:rPr>
      </w:pPr>
      <w:r w:rsidRPr="006C0DC5">
        <w:rPr>
          <w:rFonts w:ascii="Georgia" w:hAnsi="Georgia" w:cs="Garamond"/>
          <w:sz w:val="24"/>
          <w:szCs w:val="24"/>
        </w:rPr>
        <w:t xml:space="preserve">New York </w:t>
      </w:r>
      <w:r w:rsidR="00641563" w:rsidRPr="006C0DC5">
        <w:rPr>
          <w:rFonts w:ascii="Georgia" w:hAnsi="Georgia" w:cs="Garamond"/>
          <w:sz w:val="24"/>
          <w:szCs w:val="24"/>
        </w:rPr>
        <w:t>also</w:t>
      </w:r>
      <w:r w:rsidRPr="006C0DC5">
        <w:rPr>
          <w:rFonts w:ascii="Georgia" w:hAnsi="Georgia" w:cs="Garamond"/>
          <w:sz w:val="24"/>
          <w:szCs w:val="24"/>
        </w:rPr>
        <w:t xml:space="preserve"> implemented heat pump adoption </w:t>
      </w:r>
      <w:r w:rsidR="00EF6A97" w:rsidRPr="006C0DC5">
        <w:rPr>
          <w:rFonts w:ascii="Georgia" w:hAnsi="Georgia" w:cs="Garamond"/>
          <w:sz w:val="24"/>
          <w:szCs w:val="24"/>
        </w:rPr>
        <w:t xml:space="preserve">measures to combat climate change. </w:t>
      </w:r>
      <w:r w:rsidR="006225BC" w:rsidRPr="006C0DC5">
        <w:rPr>
          <w:rFonts w:ascii="Georgia" w:hAnsi="Georgia" w:cs="Garamond"/>
          <w:sz w:val="24"/>
          <w:szCs w:val="24"/>
        </w:rPr>
        <w:t>The New York State Energy Research and Development Agency</w:t>
      </w:r>
      <w:r w:rsidR="00F9386B" w:rsidRPr="006C0DC5">
        <w:rPr>
          <w:rFonts w:ascii="Georgia" w:hAnsi="Georgia" w:cs="Garamond"/>
          <w:sz w:val="24"/>
          <w:szCs w:val="24"/>
        </w:rPr>
        <w:t xml:space="preserve"> (NYSERDA) developed Best Practice</w:t>
      </w:r>
      <w:r w:rsidR="00741603" w:rsidRPr="006C0DC5">
        <w:rPr>
          <w:rFonts w:ascii="Georgia" w:hAnsi="Georgia" w:cs="Garamond"/>
          <w:sz w:val="24"/>
          <w:szCs w:val="24"/>
        </w:rPr>
        <w:t>s</w:t>
      </w:r>
      <w:r w:rsidR="00F9386B" w:rsidRPr="006C0DC5">
        <w:rPr>
          <w:rFonts w:ascii="Georgia" w:hAnsi="Georgia" w:cs="Garamond"/>
          <w:sz w:val="24"/>
          <w:szCs w:val="24"/>
        </w:rPr>
        <w:t xml:space="preserve"> for heat pump users</w:t>
      </w:r>
      <w:r w:rsidR="00741603" w:rsidRPr="006C0DC5">
        <w:rPr>
          <w:rFonts w:ascii="Georgia" w:hAnsi="Georgia" w:cs="Garamond"/>
          <w:sz w:val="24"/>
          <w:szCs w:val="24"/>
        </w:rPr>
        <w:t xml:space="preserve">, recommending </w:t>
      </w:r>
      <w:r w:rsidR="00E92636" w:rsidRPr="006C0DC5">
        <w:rPr>
          <w:rFonts w:ascii="Georgia" w:hAnsi="Georgia" w:cs="Garamond"/>
          <w:sz w:val="24"/>
          <w:szCs w:val="24"/>
        </w:rPr>
        <w:t xml:space="preserve">users </w:t>
      </w:r>
      <w:r w:rsidR="00564AE1" w:rsidRPr="006C0DC5">
        <w:rPr>
          <w:rFonts w:ascii="Georgia" w:hAnsi="Georgia" w:cs="Garamond"/>
          <w:sz w:val="24"/>
          <w:szCs w:val="24"/>
        </w:rPr>
        <w:t>leav</w:t>
      </w:r>
      <w:r w:rsidR="00973ED9" w:rsidRPr="006C0DC5">
        <w:rPr>
          <w:rFonts w:ascii="Georgia" w:hAnsi="Georgia" w:cs="Garamond"/>
          <w:sz w:val="24"/>
          <w:szCs w:val="24"/>
        </w:rPr>
        <w:t>e</w:t>
      </w:r>
      <w:r w:rsidR="00564AE1" w:rsidRPr="006C0DC5">
        <w:rPr>
          <w:rFonts w:ascii="Georgia" w:hAnsi="Georgia" w:cs="Garamond"/>
          <w:sz w:val="24"/>
          <w:szCs w:val="24"/>
        </w:rPr>
        <w:t xml:space="preserve"> heat pump</w:t>
      </w:r>
      <w:r w:rsidR="00973ED9" w:rsidRPr="006C0DC5">
        <w:rPr>
          <w:rFonts w:ascii="Georgia" w:hAnsi="Georgia" w:cs="Garamond"/>
          <w:sz w:val="24"/>
          <w:szCs w:val="24"/>
        </w:rPr>
        <w:t>s</w:t>
      </w:r>
      <w:r w:rsidR="00564AE1" w:rsidRPr="006C0DC5">
        <w:rPr>
          <w:rFonts w:ascii="Georgia" w:hAnsi="Georgia" w:cs="Garamond"/>
          <w:sz w:val="24"/>
          <w:szCs w:val="24"/>
        </w:rPr>
        <w:t xml:space="preserve"> at a constant temperature. NYSERDA states:</w:t>
      </w:r>
    </w:p>
    <w:p w14:paraId="0E8356C5" w14:textId="77777777" w:rsidR="00973ED9" w:rsidRPr="006C0DC5" w:rsidRDefault="00973ED9" w:rsidP="00564AE1">
      <w:pPr>
        <w:widowControl/>
        <w:autoSpaceDE w:val="0"/>
        <w:autoSpaceDN w:val="0"/>
        <w:adjustRightInd w:val="0"/>
        <w:rPr>
          <w:rFonts w:ascii="Georgia" w:hAnsi="Georgia" w:cs="Garamond"/>
          <w:sz w:val="24"/>
          <w:szCs w:val="24"/>
        </w:rPr>
      </w:pPr>
    </w:p>
    <w:p w14:paraId="43D8BFDF" w14:textId="30A9CE89" w:rsidR="00564AE1" w:rsidRPr="006C0DC5" w:rsidRDefault="00564AE1" w:rsidP="00973ED9">
      <w:pPr>
        <w:widowControl/>
        <w:autoSpaceDE w:val="0"/>
        <w:autoSpaceDN w:val="0"/>
        <w:adjustRightInd w:val="0"/>
        <w:ind w:left="720"/>
        <w:rPr>
          <w:rFonts w:ascii="Georgia" w:hAnsi="Georgia" w:cs="Garamond"/>
          <w:sz w:val="24"/>
          <w:szCs w:val="24"/>
        </w:rPr>
      </w:pPr>
      <w:r w:rsidRPr="006C0DC5">
        <w:rPr>
          <w:rFonts w:ascii="Georgia" w:hAnsi="Georgia" w:cs="Garamond"/>
          <w:sz w:val="24"/>
          <w:szCs w:val="24"/>
        </w:rPr>
        <w:t>Let your heat pump run—Heat pumps work best when you keep your thermostat at a constant temperature all the time—overnight, when you’re out for the day or even away for a day or two. Unlike furnaces and boilers, adjusting your thermostat for short-term situations is not recommended and may lead to higher energy bills.</w:t>
      </w:r>
      <w:r w:rsidRPr="006C0DC5">
        <w:rPr>
          <w:rFonts w:ascii="Georgia" w:hAnsi="Georgia" w:cs="Garamond"/>
          <w:sz w:val="24"/>
          <w:szCs w:val="24"/>
          <w:vertAlign w:val="superscript"/>
        </w:rPr>
        <w:footnoteReference w:id="6"/>
      </w:r>
    </w:p>
    <w:p w14:paraId="1ABA1265" w14:textId="77777777" w:rsidR="002D5567" w:rsidRPr="006C0DC5" w:rsidRDefault="002D5567" w:rsidP="00564AE1">
      <w:pPr>
        <w:widowControl/>
        <w:autoSpaceDE w:val="0"/>
        <w:autoSpaceDN w:val="0"/>
        <w:adjustRightInd w:val="0"/>
        <w:rPr>
          <w:rFonts w:ascii="Georgia" w:hAnsi="Georgia" w:cs="Garamond"/>
          <w:sz w:val="24"/>
          <w:szCs w:val="24"/>
        </w:rPr>
      </w:pPr>
      <w:bookmarkStart w:id="4" w:name="_Hlk205199526"/>
    </w:p>
    <w:bookmarkEnd w:id="4"/>
    <w:p w14:paraId="62FB28C3" w14:textId="4C9A4EC8" w:rsidR="004C4C7F" w:rsidRDefault="00564AE1" w:rsidP="00564AE1">
      <w:pPr>
        <w:widowControl/>
        <w:autoSpaceDE w:val="0"/>
        <w:autoSpaceDN w:val="0"/>
        <w:adjustRightInd w:val="0"/>
        <w:rPr>
          <w:rFonts w:ascii="Georgia" w:hAnsi="Georgia" w:cs="Garamond"/>
          <w:sz w:val="24"/>
          <w:szCs w:val="24"/>
        </w:rPr>
      </w:pPr>
      <w:r w:rsidRPr="006C0DC5">
        <w:rPr>
          <w:rFonts w:ascii="Georgia" w:hAnsi="Georgia" w:cs="Garamond"/>
          <w:sz w:val="24"/>
          <w:szCs w:val="24"/>
        </w:rPr>
        <w:t xml:space="preserve">Therefore, any </w:t>
      </w:r>
      <w:r w:rsidR="002923F7" w:rsidRPr="006C0DC5">
        <w:rPr>
          <w:rFonts w:ascii="Georgia" w:hAnsi="Georgia" w:cs="Garamond"/>
          <w:sz w:val="24"/>
          <w:szCs w:val="24"/>
        </w:rPr>
        <w:t xml:space="preserve">winter </w:t>
      </w:r>
      <w:r w:rsidRPr="006C0DC5">
        <w:rPr>
          <w:rFonts w:ascii="Georgia" w:hAnsi="Georgia" w:cs="Garamond"/>
          <w:sz w:val="24"/>
          <w:szCs w:val="24"/>
        </w:rPr>
        <w:t>demand response program should not rely on residential customers</w:t>
      </w:r>
      <w:r w:rsidR="004A2DA8" w:rsidRPr="006C0DC5">
        <w:rPr>
          <w:rFonts w:ascii="Georgia" w:hAnsi="Georgia" w:cs="Garamond"/>
          <w:sz w:val="24"/>
          <w:szCs w:val="24"/>
        </w:rPr>
        <w:t xml:space="preserve"> in cold climates</w:t>
      </w:r>
      <w:r w:rsidRPr="006C0DC5">
        <w:rPr>
          <w:rFonts w:ascii="Georgia" w:hAnsi="Georgia" w:cs="Garamond"/>
          <w:sz w:val="24"/>
          <w:szCs w:val="24"/>
        </w:rPr>
        <w:t xml:space="preserve"> reducing </w:t>
      </w:r>
      <w:r w:rsidR="005E0A6C" w:rsidRPr="006C0DC5">
        <w:rPr>
          <w:rFonts w:ascii="Georgia" w:hAnsi="Georgia" w:cs="Garamond"/>
          <w:sz w:val="24"/>
          <w:szCs w:val="24"/>
        </w:rPr>
        <w:t xml:space="preserve">space heating </w:t>
      </w:r>
      <w:r w:rsidRPr="006C0DC5">
        <w:rPr>
          <w:rFonts w:ascii="Georgia" w:hAnsi="Georgia" w:cs="Garamond"/>
          <w:sz w:val="24"/>
          <w:szCs w:val="24"/>
        </w:rPr>
        <w:t>heat pump use during a daily peak period. Such a program could raise customer bills and damage their heat pumps, reducing heat pump efficiency and the life expectancy of the unit.</w:t>
      </w:r>
      <w:r w:rsidR="00F30364" w:rsidRPr="006C0DC5">
        <w:rPr>
          <w:rFonts w:ascii="Georgia" w:hAnsi="Georgia" w:cs="Garamond"/>
          <w:sz w:val="24"/>
          <w:szCs w:val="24"/>
        </w:rPr>
        <w:t xml:space="preserve"> </w:t>
      </w:r>
    </w:p>
    <w:p w14:paraId="34BEAC69" w14:textId="77777777" w:rsidR="004C4C7F" w:rsidRDefault="004C4C7F" w:rsidP="00564AE1">
      <w:pPr>
        <w:widowControl/>
        <w:autoSpaceDE w:val="0"/>
        <w:autoSpaceDN w:val="0"/>
        <w:adjustRightInd w:val="0"/>
        <w:rPr>
          <w:rFonts w:ascii="Georgia" w:hAnsi="Georgia" w:cs="Garamond"/>
          <w:sz w:val="24"/>
          <w:szCs w:val="24"/>
        </w:rPr>
      </w:pPr>
    </w:p>
    <w:p w14:paraId="38FBB37F" w14:textId="5857A0BF" w:rsidR="00844B79" w:rsidRDefault="004C4C7F" w:rsidP="006E7CA5">
      <w:pPr>
        <w:widowControl/>
        <w:autoSpaceDE w:val="0"/>
        <w:autoSpaceDN w:val="0"/>
        <w:adjustRightInd w:val="0"/>
        <w:rPr>
          <w:rFonts w:ascii="Georgia" w:hAnsi="Georgia" w:cs="Garamond"/>
          <w:sz w:val="24"/>
          <w:szCs w:val="24"/>
        </w:rPr>
      </w:pPr>
      <w:r w:rsidRPr="004C4C7F">
        <w:rPr>
          <w:rFonts w:ascii="Georgia" w:hAnsi="Georgia" w:cs="Garamond"/>
          <w:sz w:val="24"/>
          <w:szCs w:val="24"/>
        </w:rPr>
        <w:t>Other parts of the country without long stretches of cold weather may not have the same operational impacts. For example, heat pump load shifting programs in Georgia should not be used as a model for northern climates.</w:t>
      </w:r>
      <w:r w:rsidRPr="004C4C7F">
        <w:rPr>
          <w:rFonts w:ascii="Georgia" w:hAnsi="Georgia" w:cs="Garamond"/>
          <w:sz w:val="24"/>
          <w:szCs w:val="24"/>
          <w:vertAlign w:val="superscript"/>
        </w:rPr>
        <w:footnoteReference w:id="7"/>
      </w:r>
      <w:r w:rsidRPr="004C4C7F">
        <w:rPr>
          <w:rFonts w:ascii="Georgia" w:hAnsi="Georgia" w:cs="Garamond"/>
          <w:sz w:val="24"/>
          <w:szCs w:val="24"/>
        </w:rPr>
        <w:t xml:space="preserve"> Georgia customers are unlikely to experience significant ice buildup on a heat pump’s outdoor coils in the same way Maine customers could.</w:t>
      </w:r>
    </w:p>
    <w:p w14:paraId="66D3E2FA" w14:textId="77777777" w:rsidR="00574F9B" w:rsidRDefault="00574F9B" w:rsidP="00564AE1">
      <w:pPr>
        <w:widowControl/>
        <w:autoSpaceDE w:val="0"/>
        <w:autoSpaceDN w:val="0"/>
        <w:adjustRightInd w:val="0"/>
        <w:rPr>
          <w:rFonts w:ascii="Georgia" w:hAnsi="Georgia" w:cs="Garamond"/>
          <w:sz w:val="24"/>
          <w:szCs w:val="24"/>
        </w:rPr>
      </w:pPr>
    </w:p>
    <w:p w14:paraId="34D86E1D" w14:textId="27D20C69" w:rsidR="00CA168F" w:rsidRPr="00CA168F" w:rsidRDefault="004511B3" w:rsidP="00CA168F">
      <w:pPr>
        <w:pStyle w:val="ListParagraph"/>
        <w:widowControl/>
        <w:numPr>
          <w:ilvl w:val="0"/>
          <w:numId w:val="40"/>
        </w:numPr>
        <w:autoSpaceDE w:val="0"/>
        <w:autoSpaceDN w:val="0"/>
        <w:adjustRightInd w:val="0"/>
        <w:rPr>
          <w:rFonts w:ascii="Georgia" w:hAnsi="Georgia" w:cs="Garamond"/>
          <w:sz w:val="24"/>
          <w:szCs w:val="24"/>
        </w:rPr>
      </w:pPr>
      <w:r>
        <w:rPr>
          <w:rFonts w:ascii="Georgia" w:hAnsi="Georgia" w:cs="Garamond"/>
          <w:sz w:val="24"/>
          <w:szCs w:val="24"/>
        </w:rPr>
        <w:t xml:space="preserve">A Winter Demand Response Program must not Undermine </w:t>
      </w:r>
      <w:r w:rsidR="00E84E55">
        <w:rPr>
          <w:rFonts w:ascii="Georgia" w:hAnsi="Georgia" w:cs="Garamond"/>
          <w:sz w:val="24"/>
          <w:szCs w:val="24"/>
        </w:rPr>
        <w:t>Electrification Initiatives</w:t>
      </w:r>
    </w:p>
    <w:p w14:paraId="5004A435" w14:textId="77777777" w:rsidR="00844B79" w:rsidRPr="006C0DC5" w:rsidRDefault="00844B79" w:rsidP="00564AE1">
      <w:pPr>
        <w:widowControl/>
        <w:autoSpaceDE w:val="0"/>
        <w:autoSpaceDN w:val="0"/>
        <w:adjustRightInd w:val="0"/>
        <w:rPr>
          <w:rFonts w:ascii="Georgia" w:hAnsi="Georgia" w:cs="Garamond"/>
          <w:sz w:val="24"/>
          <w:szCs w:val="24"/>
        </w:rPr>
      </w:pPr>
    </w:p>
    <w:p w14:paraId="2D91C876" w14:textId="763DB26A" w:rsidR="00804E99" w:rsidRDefault="00CA168F" w:rsidP="006E7CA5">
      <w:pPr>
        <w:widowControl/>
        <w:autoSpaceDE w:val="0"/>
        <w:autoSpaceDN w:val="0"/>
        <w:adjustRightInd w:val="0"/>
        <w:rPr>
          <w:rFonts w:ascii="Georgia" w:hAnsi="Georgia" w:cs="Garamond"/>
          <w:sz w:val="24"/>
          <w:szCs w:val="24"/>
        </w:rPr>
      </w:pPr>
      <w:r w:rsidRPr="00CA168F">
        <w:rPr>
          <w:rFonts w:ascii="Georgia" w:hAnsi="Georgia" w:cs="Garamond"/>
          <w:sz w:val="24"/>
          <w:szCs w:val="24"/>
        </w:rPr>
        <w:t>While reducing winter peaks to lower costs for ratepayers is a worthy goal, a dynamic rate must be carefully designed to avoid undermining efforts to switch consumers from carbon-based heating fuels to electric heat. Maine has a heavy reliance on oil for home heating and is currently the most heating oil dependent state in the nation. Approximately one half of Maine’s households (52%) use fuel oil for their primary home heating source</w:t>
      </w:r>
      <w:r w:rsidR="00F831CC">
        <w:rPr>
          <w:rFonts w:ascii="Georgia" w:hAnsi="Georgia" w:cs="Garamond"/>
          <w:sz w:val="24"/>
          <w:szCs w:val="24"/>
        </w:rPr>
        <w:t>.</w:t>
      </w:r>
      <w:r w:rsidRPr="00CA168F">
        <w:rPr>
          <w:rFonts w:ascii="Georgia" w:hAnsi="Georgia" w:cs="Garamond"/>
          <w:sz w:val="24"/>
          <w:szCs w:val="24"/>
          <w:vertAlign w:val="superscript"/>
        </w:rPr>
        <w:footnoteReference w:id="8"/>
      </w:r>
      <w:r w:rsidRPr="00CA168F">
        <w:rPr>
          <w:rFonts w:ascii="Georgia" w:hAnsi="Georgia" w:cs="Garamond"/>
          <w:sz w:val="24"/>
          <w:szCs w:val="24"/>
        </w:rPr>
        <w:t xml:space="preserve"> To reduce the greenhouse gas impact of reliance on carbon-based fuel for home heating, Maine implemented a heat pump adoption program.</w:t>
      </w:r>
      <w:r w:rsidRPr="00CA168F">
        <w:rPr>
          <w:rFonts w:ascii="Georgia" w:hAnsi="Georgia" w:cs="Garamond"/>
          <w:sz w:val="24"/>
          <w:szCs w:val="24"/>
          <w:vertAlign w:val="superscript"/>
        </w:rPr>
        <w:footnoteReference w:id="9"/>
      </w:r>
      <w:r w:rsidRPr="00CA168F">
        <w:rPr>
          <w:rFonts w:ascii="Georgia" w:hAnsi="Georgia" w:cs="Garamond"/>
          <w:sz w:val="24"/>
          <w:szCs w:val="24"/>
        </w:rPr>
        <w:t xml:space="preserve"> This program has been so successful that Maine achieved its goal of installing 100,000 new heat </w:t>
      </w:r>
      <w:r w:rsidRPr="00CA168F">
        <w:rPr>
          <w:rFonts w:ascii="Georgia" w:hAnsi="Georgia" w:cs="Garamond"/>
          <w:sz w:val="24"/>
          <w:szCs w:val="24"/>
        </w:rPr>
        <w:lastRenderedPageBreak/>
        <w:t>pumps two years ahead of schedule.</w:t>
      </w:r>
      <w:r w:rsidRPr="00CA168F">
        <w:rPr>
          <w:rFonts w:ascii="Georgia" w:hAnsi="Georgia" w:cs="Garamond"/>
          <w:sz w:val="24"/>
          <w:szCs w:val="24"/>
          <w:vertAlign w:val="superscript"/>
        </w:rPr>
        <w:footnoteReference w:id="10"/>
      </w:r>
      <w:r w:rsidRPr="00CA168F">
        <w:rPr>
          <w:rFonts w:ascii="Georgia" w:hAnsi="Georgia" w:cs="Garamond"/>
          <w:sz w:val="24"/>
          <w:szCs w:val="24"/>
        </w:rPr>
        <w:t xml:space="preserve"> To continue this momentum, Governor Mills increased the target to another 175,000 heat pumps in Maine by 2027.</w:t>
      </w:r>
      <w:r w:rsidRPr="00CA168F">
        <w:rPr>
          <w:rFonts w:ascii="Georgia" w:hAnsi="Georgia" w:cs="Garamond"/>
          <w:sz w:val="24"/>
          <w:szCs w:val="24"/>
          <w:vertAlign w:val="superscript"/>
        </w:rPr>
        <w:footnoteReference w:id="11"/>
      </w:r>
      <w:r w:rsidRPr="00CA168F">
        <w:rPr>
          <w:rFonts w:ascii="Georgia" w:hAnsi="Georgia" w:cs="Garamond"/>
          <w:sz w:val="24"/>
          <w:szCs w:val="24"/>
        </w:rPr>
        <w:t xml:space="preserve"> </w:t>
      </w:r>
    </w:p>
    <w:p w14:paraId="5AF8C7C2" w14:textId="77777777" w:rsidR="007E6D5B" w:rsidRDefault="007E6D5B" w:rsidP="00CF1B4E">
      <w:pPr>
        <w:widowControl/>
        <w:autoSpaceDE w:val="0"/>
        <w:autoSpaceDN w:val="0"/>
        <w:adjustRightInd w:val="0"/>
        <w:ind w:firstLine="720"/>
        <w:rPr>
          <w:rFonts w:ascii="Georgia" w:hAnsi="Georgia" w:cs="Garamond"/>
          <w:sz w:val="24"/>
          <w:szCs w:val="24"/>
        </w:rPr>
      </w:pPr>
    </w:p>
    <w:p w14:paraId="05C70B64" w14:textId="13BCE967" w:rsidR="00564AE1" w:rsidRDefault="00CA168F" w:rsidP="006E7CA5">
      <w:pPr>
        <w:widowControl/>
        <w:autoSpaceDE w:val="0"/>
        <w:autoSpaceDN w:val="0"/>
        <w:adjustRightInd w:val="0"/>
        <w:rPr>
          <w:rFonts w:ascii="Georgia" w:hAnsi="Georgia" w:cs="Garamond"/>
          <w:sz w:val="24"/>
          <w:szCs w:val="24"/>
        </w:rPr>
      </w:pPr>
      <w:r w:rsidRPr="00CA168F">
        <w:rPr>
          <w:rFonts w:ascii="Georgia" w:hAnsi="Georgia" w:cs="Garamond"/>
          <w:sz w:val="24"/>
          <w:szCs w:val="24"/>
        </w:rPr>
        <w:t>Implementing a dynamic pricing program that increases electric rates for heat pump users during daily winter system peaks could not only negatively affect the operation of heat pumps but could create a disincentive for heat pump adoption</w:t>
      </w:r>
      <w:r w:rsidR="00F31317">
        <w:rPr>
          <w:rFonts w:ascii="Georgia" w:hAnsi="Georgia" w:cs="Garamond"/>
          <w:sz w:val="24"/>
          <w:szCs w:val="24"/>
        </w:rPr>
        <w:t xml:space="preserve"> due to</w:t>
      </w:r>
      <w:r w:rsidR="00F831CC">
        <w:rPr>
          <w:rFonts w:ascii="Georgia" w:hAnsi="Georgia" w:cs="Garamond"/>
          <w:sz w:val="24"/>
          <w:szCs w:val="24"/>
        </w:rPr>
        <w:t xml:space="preserve"> fear, whether founded or unfounded, that dynamic rates will</w:t>
      </w:r>
      <w:r w:rsidR="00F31317">
        <w:rPr>
          <w:rFonts w:ascii="Georgia" w:hAnsi="Georgia" w:cs="Garamond"/>
          <w:sz w:val="24"/>
          <w:szCs w:val="24"/>
        </w:rPr>
        <w:t xml:space="preserve"> increas</w:t>
      </w:r>
      <w:r w:rsidR="00F831CC">
        <w:rPr>
          <w:rFonts w:ascii="Georgia" w:hAnsi="Georgia" w:cs="Garamond"/>
          <w:sz w:val="24"/>
          <w:szCs w:val="24"/>
        </w:rPr>
        <w:t>e</w:t>
      </w:r>
      <w:r w:rsidR="00F31317">
        <w:rPr>
          <w:rFonts w:ascii="Georgia" w:hAnsi="Georgia" w:cs="Garamond"/>
          <w:sz w:val="24"/>
          <w:szCs w:val="24"/>
        </w:rPr>
        <w:t xml:space="preserve"> operation costs. </w:t>
      </w:r>
      <w:r w:rsidR="00555E91">
        <w:rPr>
          <w:rFonts w:ascii="Georgia" w:hAnsi="Georgia" w:cs="Garamond"/>
          <w:sz w:val="24"/>
          <w:szCs w:val="24"/>
        </w:rPr>
        <w:t xml:space="preserve">Maine would be at risk of a “bait and switch” </w:t>
      </w:r>
      <w:r w:rsidR="00257F9D">
        <w:rPr>
          <w:rFonts w:ascii="Georgia" w:hAnsi="Georgia" w:cs="Garamond"/>
          <w:sz w:val="24"/>
          <w:szCs w:val="24"/>
        </w:rPr>
        <w:t>accusation</w:t>
      </w:r>
      <w:r w:rsidR="00555E91">
        <w:rPr>
          <w:rFonts w:ascii="Georgia" w:hAnsi="Georgia" w:cs="Garamond"/>
          <w:sz w:val="24"/>
          <w:szCs w:val="24"/>
        </w:rPr>
        <w:t>, where consumers were told of cost savings of electric heat and were then subject to significant</w:t>
      </w:r>
      <w:r w:rsidR="00F831CC">
        <w:rPr>
          <w:rFonts w:ascii="Georgia" w:hAnsi="Georgia" w:cs="Garamond"/>
          <w:sz w:val="24"/>
          <w:szCs w:val="24"/>
        </w:rPr>
        <w:t>ly</w:t>
      </w:r>
      <w:r w:rsidR="00555E91">
        <w:rPr>
          <w:rFonts w:ascii="Georgia" w:hAnsi="Georgia" w:cs="Garamond"/>
          <w:sz w:val="24"/>
          <w:szCs w:val="24"/>
        </w:rPr>
        <w:t xml:space="preserve"> </w:t>
      </w:r>
      <w:r w:rsidR="00F831CC">
        <w:rPr>
          <w:rFonts w:ascii="Georgia" w:hAnsi="Georgia" w:cs="Garamond"/>
          <w:sz w:val="24"/>
          <w:szCs w:val="24"/>
        </w:rPr>
        <w:t>higher electric rates</w:t>
      </w:r>
      <w:r w:rsidR="00555E91">
        <w:rPr>
          <w:rFonts w:ascii="Georgia" w:hAnsi="Georgia" w:cs="Garamond"/>
          <w:sz w:val="24"/>
          <w:szCs w:val="24"/>
        </w:rPr>
        <w:t xml:space="preserve"> </w:t>
      </w:r>
      <w:r w:rsidR="00257F9D">
        <w:rPr>
          <w:rFonts w:ascii="Georgia" w:hAnsi="Georgia" w:cs="Garamond"/>
          <w:sz w:val="24"/>
          <w:szCs w:val="24"/>
        </w:rPr>
        <w:t xml:space="preserve">at the time of day </w:t>
      </w:r>
      <w:r w:rsidR="00555E91">
        <w:rPr>
          <w:rFonts w:ascii="Georgia" w:hAnsi="Georgia" w:cs="Garamond"/>
          <w:sz w:val="24"/>
          <w:szCs w:val="24"/>
        </w:rPr>
        <w:t xml:space="preserve">when they </w:t>
      </w:r>
      <w:r w:rsidR="0071276D">
        <w:rPr>
          <w:rFonts w:ascii="Georgia" w:hAnsi="Georgia" w:cs="Garamond"/>
          <w:sz w:val="24"/>
          <w:szCs w:val="24"/>
        </w:rPr>
        <w:t xml:space="preserve">most </w:t>
      </w:r>
      <w:r w:rsidR="00F831CC">
        <w:rPr>
          <w:rFonts w:ascii="Georgia" w:hAnsi="Georgia" w:cs="Garamond"/>
          <w:sz w:val="24"/>
          <w:szCs w:val="24"/>
        </w:rPr>
        <w:t>want</w:t>
      </w:r>
      <w:r w:rsidR="00555E91">
        <w:rPr>
          <w:rFonts w:ascii="Georgia" w:hAnsi="Georgia" w:cs="Garamond"/>
          <w:sz w:val="24"/>
          <w:szCs w:val="24"/>
        </w:rPr>
        <w:t xml:space="preserve"> </w:t>
      </w:r>
      <w:r w:rsidR="0071276D">
        <w:rPr>
          <w:rFonts w:ascii="Georgia" w:hAnsi="Georgia" w:cs="Garamond"/>
          <w:sz w:val="24"/>
          <w:szCs w:val="24"/>
        </w:rPr>
        <w:t>their homes</w:t>
      </w:r>
      <w:r w:rsidR="00F831CC">
        <w:rPr>
          <w:rFonts w:ascii="Georgia" w:hAnsi="Georgia" w:cs="Garamond"/>
          <w:sz w:val="24"/>
          <w:szCs w:val="24"/>
        </w:rPr>
        <w:t xml:space="preserve"> to be warm</w:t>
      </w:r>
      <w:r w:rsidR="009D1675">
        <w:rPr>
          <w:rFonts w:ascii="Georgia" w:hAnsi="Georgia" w:cs="Garamond"/>
          <w:sz w:val="24"/>
          <w:szCs w:val="24"/>
        </w:rPr>
        <w:t>.</w:t>
      </w:r>
      <w:r w:rsidR="009D1675" w:rsidRPr="006C0DC5">
        <w:rPr>
          <w:rFonts w:ascii="Georgia" w:hAnsi="Georgia" w:cs="Garamond"/>
          <w:sz w:val="24"/>
          <w:szCs w:val="24"/>
        </w:rPr>
        <w:t xml:space="preserve"> Where</w:t>
      </w:r>
      <w:r w:rsidR="00564AE1" w:rsidRPr="006C0DC5">
        <w:rPr>
          <w:rFonts w:ascii="Georgia" w:hAnsi="Georgia" w:cs="Garamond"/>
          <w:sz w:val="24"/>
          <w:szCs w:val="24"/>
        </w:rPr>
        <w:t xml:space="preserve"> Maine has a very successful heat pump adoption program, Maine should not implement a residential demand reduction program that undermines its existing heat pump success story.</w:t>
      </w:r>
    </w:p>
    <w:p w14:paraId="45A20BE6" w14:textId="77777777" w:rsidR="002B08CB" w:rsidRDefault="002B08CB" w:rsidP="00564AE1">
      <w:pPr>
        <w:widowControl/>
        <w:autoSpaceDE w:val="0"/>
        <w:autoSpaceDN w:val="0"/>
        <w:adjustRightInd w:val="0"/>
        <w:rPr>
          <w:rFonts w:ascii="Georgia" w:hAnsi="Georgia" w:cs="Garamond"/>
          <w:sz w:val="24"/>
          <w:szCs w:val="24"/>
        </w:rPr>
      </w:pPr>
    </w:p>
    <w:p w14:paraId="15D3C2D5" w14:textId="2313BA28" w:rsidR="002B08CB" w:rsidRPr="006C0DC5" w:rsidRDefault="00DD0F51" w:rsidP="006E7CA5">
      <w:pPr>
        <w:widowControl/>
        <w:autoSpaceDE w:val="0"/>
        <w:autoSpaceDN w:val="0"/>
        <w:adjustRightInd w:val="0"/>
        <w:rPr>
          <w:rFonts w:ascii="Georgia" w:hAnsi="Georgia" w:cs="Garamond"/>
          <w:sz w:val="24"/>
          <w:szCs w:val="24"/>
        </w:rPr>
      </w:pPr>
      <w:r>
        <w:rPr>
          <w:rFonts w:ascii="Georgia" w:hAnsi="Georgia" w:cs="Garamond"/>
          <w:sz w:val="24"/>
          <w:szCs w:val="24"/>
        </w:rPr>
        <w:t xml:space="preserve">While heat pumps likely should not serve as a demand response resource during Maine winters, they may help mitigate energy shortfalls in other ways. </w:t>
      </w:r>
      <w:r w:rsidR="002B08CB">
        <w:rPr>
          <w:rFonts w:ascii="Georgia" w:hAnsi="Georgia" w:cs="Garamond"/>
          <w:sz w:val="24"/>
          <w:szCs w:val="24"/>
        </w:rPr>
        <w:t>As noted in the Report, low fuel inventories in New England may contribute to winter energy shortfalls.</w:t>
      </w:r>
      <w:r w:rsidR="002B08CB">
        <w:rPr>
          <w:rStyle w:val="FootnoteReference"/>
          <w:rFonts w:ascii="Georgia" w:hAnsi="Georgia" w:cs="Garamond"/>
          <w:sz w:val="24"/>
          <w:szCs w:val="24"/>
        </w:rPr>
        <w:footnoteReference w:id="12"/>
      </w:r>
      <w:r w:rsidR="002B08CB">
        <w:rPr>
          <w:rFonts w:ascii="Georgia" w:hAnsi="Georgia" w:cs="Garamond"/>
          <w:sz w:val="24"/>
          <w:szCs w:val="24"/>
        </w:rPr>
        <w:t xml:space="preserve"> Beneficial electrification of heating </w:t>
      </w:r>
      <w:r>
        <w:rPr>
          <w:rFonts w:ascii="Georgia" w:hAnsi="Georgia" w:cs="Garamond"/>
          <w:sz w:val="24"/>
          <w:szCs w:val="24"/>
        </w:rPr>
        <w:t>load shifts demand away from natural gas and oil for heating purposes, thereby improving availability of those fuels for electricity generation in the winter.</w:t>
      </w:r>
    </w:p>
    <w:p w14:paraId="400CAEBB" w14:textId="77777777" w:rsidR="00564AE1" w:rsidRPr="006C0DC5" w:rsidRDefault="00564AE1" w:rsidP="00564AE1">
      <w:pPr>
        <w:widowControl/>
        <w:autoSpaceDE w:val="0"/>
        <w:autoSpaceDN w:val="0"/>
        <w:adjustRightInd w:val="0"/>
        <w:rPr>
          <w:rFonts w:ascii="Georgia" w:hAnsi="Georgia" w:cs="Garamond"/>
          <w:sz w:val="24"/>
          <w:szCs w:val="24"/>
        </w:rPr>
      </w:pPr>
    </w:p>
    <w:p w14:paraId="0BDE1FFD" w14:textId="77777777" w:rsidR="00BA546F" w:rsidRDefault="00755CCF" w:rsidP="00BA546F">
      <w:pPr>
        <w:pStyle w:val="ListParagraph"/>
        <w:widowControl/>
        <w:numPr>
          <w:ilvl w:val="0"/>
          <w:numId w:val="40"/>
        </w:numPr>
        <w:autoSpaceDE w:val="0"/>
        <w:autoSpaceDN w:val="0"/>
        <w:adjustRightInd w:val="0"/>
        <w:rPr>
          <w:rFonts w:ascii="Georgia" w:hAnsi="Georgia" w:cs="Garamond"/>
          <w:sz w:val="24"/>
          <w:szCs w:val="24"/>
        </w:rPr>
      </w:pPr>
      <w:r w:rsidRPr="00BA546F">
        <w:rPr>
          <w:rFonts w:ascii="Georgia" w:hAnsi="Georgia" w:cs="Garamond"/>
          <w:sz w:val="24"/>
          <w:szCs w:val="24"/>
        </w:rPr>
        <w:t xml:space="preserve">Device Specific </w:t>
      </w:r>
      <w:r w:rsidR="00F97E6C" w:rsidRPr="00BA546F">
        <w:rPr>
          <w:rFonts w:ascii="Georgia" w:hAnsi="Georgia" w:cs="Garamond"/>
          <w:sz w:val="24"/>
          <w:szCs w:val="24"/>
        </w:rPr>
        <w:t xml:space="preserve">Demand Response Programs </w:t>
      </w:r>
      <w:r w:rsidR="003A64F0" w:rsidRPr="00BA546F">
        <w:rPr>
          <w:rFonts w:ascii="Georgia" w:hAnsi="Georgia" w:cs="Garamond"/>
          <w:sz w:val="24"/>
          <w:szCs w:val="24"/>
        </w:rPr>
        <w:t>Can</w:t>
      </w:r>
      <w:r w:rsidR="000C296C" w:rsidRPr="00BA546F">
        <w:rPr>
          <w:rFonts w:ascii="Georgia" w:hAnsi="Georgia" w:cs="Garamond"/>
          <w:sz w:val="24"/>
          <w:szCs w:val="24"/>
        </w:rPr>
        <w:t xml:space="preserve"> Achieve the Same Goals as Time</w:t>
      </w:r>
      <w:r w:rsidR="00597EC6" w:rsidRPr="00BA546F">
        <w:rPr>
          <w:rFonts w:ascii="Georgia" w:hAnsi="Georgia" w:cs="Garamond"/>
          <w:sz w:val="24"/>
          <w:szCs w:val="24"/>
        </w:rPr>
        <w:t xml:space="preserve"> Varying </w:t>
      </w:r>
      <w:r w:rsidR="009D7449" w:rsidRPr="00BA546F">
        <w:rPr>
          <w:rFonts w:ascii="Georgia" w:hAnsi="Georgia" w:cs="Garamond"/>
          <w:sz w:val="24"/>
          <w:szCs w:val="24"/>
        </w:rPr>
        <w:t xml:space="preserve">Rates. </w:t>
      </w:r>
    </w:p>
    <w:p w14:paraId="1D7C40B1" w14:textId="77777777" w:rsidR="00BA546F" w:rsidRDefault="00BA546F" w:rsidP="00BA546F">
      <w:pPr>
        <w:pStyle w:val="ListParagraph"/>
        <w:widowControl/>
        <w:autoSpaceDE w:val="0"/>
        <w:autoSpaceDN w:val="0"/>
        <w:adjustRightInd w:val="0"/>
        <w:ind w:left="1080"/>
        <w:rPr>
          <w:rFonts w:ascii="Georgia" w:hAnsi="Georgia" w:cs="Garamond"/>
          <w:sz w:val="24"/>
          <w:szCs w:val="24"/>
        </w:rPr>
      </w:pPr>
    </w:p>
    <w:p w14:paraId="0089C816" w14:textId="77777777" w:rsidR="00A3175B" w:rsidRDefault="009D7449" w:rsidP="006E7CA5">
      <w:pPr>
        <w:widowControl/>
        <w:autoSpaceDE w:val="0"/>
        <w:autoSpaceDN w:val="0"/>
        <w:adjustRightInd w:val="0"/>
        <w:rPr>
          <w:rFonts w:ascii="Georgia" w:hAnsi="Georgia" w:cs="Garamond"/>
          <w:sz w:val="24"/>
          <w:szCs w:val="24"/>
        </w:rPr>
      </w:pPr>
      <w:r w:rsidRPr="00BA546F">
        <w:rPr>
          <w:rFonts w:ascii="Georgia" w:hAnsi="Georgia" w:cs="Garamond"/>
          <w:sz w:val="24"/>
          <w:szCs w:val="24"/>
        </w:rPr>
        <w:t>This</w:t>
      </w:r>
      <w:r w:rsidR="00564AE1" w:rsidRPr="00BA546F">
        <w:rPr>
          <w:rFonts w:ascii="Georgia" w:hAnsi="Georgia" w:cs="Garamond"/>
          <w:sz w:val="24"/>
          <w:szCs w:val="24"/>
        </w:rPr>
        <w:t xml:space="preserve"> raises the question: </w:t>
      </w:r>
      <w:r w:rsidR="00DB2611" w:rsidRPr="00BA546F">
        <w:rPr>
          <w:rFonts w:ascii="Georgia" w:hAnsi="Georgia" w:cs="Garamond"/>
          <w:sz w:val="24"/>
          <w:szCs w:val="24"/>
        </w:rPr>
        <w:t>What</w:t>
      </w:r>
      <w:r w:rsidR="00F1491D" w:rsidRPr="00BA546F">
        <w:rPr>
          <w:rFonts w:ascii="Georgia" w:hAnsi="Georgia" w:cs="Garamond"/>
          <w:sz w:val="24"/>
          <w:szCs w:val="24"/>
        </w:rPr>
        <w:t xml:space="preserve"> </w:t>
      </w:r>
      <w:r w:rsidR="00720063" w:rsidRPr="00BA546F">
        <w:rPr>
          <w:rFonts w:ascii="Georgia" w:hAnsi="Georgia" w:cs="Garamond"/>
          <w:sz w:val="24"/>
          <w:szCs w:val="24"/>
        </w:rPr>
        <w:t>cost-effective</w:t>
      </w:r>
      <w:r w:rsidR="00564AE1" w:rsidRPr="00BA546F">
        <w:rPr>
          <w:rFonts w:ascii="Georgia" w:hAnsi="Georgia" w:cs="Garamond"/>
          <w:sz w:val="24"/>
          <w:szCs w:val="24"/>
        </w:rPr>
        <w:t xml:space="preserve"> </w:t>
      </w:r>
      <w:r w:rsidR="001676ED" w:rsidRPr="00BA546F">
        <w:rPr>
          <w:rFonts w:ascii="Georgia" w:hAnsi="Georgia" w:cs="Garamond"/>
          <w:sz w:val="24"/>
          <w:szCs w:val="24"/>
        </w:rPr>
        <w:t xml:space="preserve">winter </w:t>
      </w:r>
      <w:r w:rsidR="00564AE1" w:rsidRPr="00BA546F">
        <w:rPr>
          <w:rFonts w:ascii="Georgia" w:hAnsi="Georgia" w:cs="Garamond"/>
          <w:sz w:val="24"/>
          <w:szCs w:val="24"/>
        </w:rPr>
        <w:t>demand program</w:t>
      </w:r>
      <w:r w:rsidR="001D04E4" w:rsidRPr="00BA546F">
        <w:rPr>
          <w:rFonts w:ascii="Georgia" w:hAnsi="Georgia" w:cs="Garamond"/>
          <w:sz w:val="24"/>
          <w:szCs w:val="24"/>
        </w:rPr>
        <w:t>s</w:t>
      </w:r>
      <w:r w:rsidR="00564AE1" w:rsidRPr="00BA546F">
        <w:rPr>
          <w:rFonts w:ascii="Georgia" w:hAnsi="Georgia" w:cs="Garamond"/>
          <w:sz w:val="24"/>
          <w:szCs w:val="24"/>
        </w:rPr>
        <w:t xml:space="preserve"> </w:t>
      </w:r>
      <w:r w:rsidR="00E2402C" w:rsidRPr="00BA546F">
        <w:rPr>
          <w:rFonts w:ascii="Georgia" w:hAnsi="Georgia" w:cs="Garamond"/>
          <w:sz w:val="24"/>
          <w:szCs w:val="24"/>
        </w:rPr>
        <w:t xml:space="preserve">can </w:t>
      </w:r>
      <w:r w:rsidR="00564AE1" w:rsidRPr="00BA546F">
        <w:rPr>
          <w:rFonts w:ascii="Georgia" w:hAnsi="Georgia" w:cs="Garamond"/>
          <w:sz w:val="24"/>
          <w:szCs w:val="24"/>
        </w:rPr>
        <w:t>achiev</w:t>
      </w:r>
      <w:r w:rsidR="00DB2611" w:rsidRPr="00BA546F">
        <w:rPr>
          <w:rFonts w:ascii="Georgia" w:hAnsi="Georgia" w:cs="Garamond"/>
          <w:sz w:val="24"/>
          <w:szCs w:val="24"/>
        </w:rPr>
        <w:t>e the</w:t>
      </w:r>
      <w:r w:rsidR="00E2402C" w:rsidRPr="00BA546F">
        <w:rPr>
          <w:rFonts w:ascii="Georgia" w:hAnsi="Georgia" w:cs="Garamond"/>
          <w:sz w:val="24"/>
          <w:szCs w:val="24"/>
        </w:rPr>
        <w:t xml:space="preserve"> targeted peak reductions</w:t>
      </w:r>
      <w:r w:rsidR="001D04E4" w:rsidRPr="00BA546F">
        <w:rPr>
          <w:rFonts w:ascii="Georgia" w:hAnsi="Georgia" w:cs="Garamond"/>
          <w:sz w:val="24"/>
          <w:szCs w:val="24"/>
        </w:rPr>
        <w:t>?</w:t>
      </w:r>
      <w:r w:rsidR="00564AE1" w:rsidRPr="00BA546F">
        <w:rPr>
          <w:rFonts w:ascii="Georgia" w:hAnsi="Georgia" w:cs="Garamond"/>
          <w:sz w:val="24"/>
          <w:szCs w:val="24"/>
        </w:rPr>
        <w:t xml:space="preserve"> </w:t>
      </w:r>
      <w:r w:rsidR="00587C75" w:rsidRPr="00BA546F">
        <w:rPr>
          <w:rFonts w:ascii="Georgia" w:hAnsi="Georgia" w:cs="Garamond"/>
          <w:sz w:val="24"/>
          <w:szCs w:val="24"/>
        </w:rPr>
        <w:t xml:space="preserve">As noted in the Report, </w:t>
      </w:r>
      <w:r w:rsidR="00EE65B8">
        <w:rPr>
          <w:rFonts w:ascii="Georgia" w:hAnsi="Georgia" w:cs="Garamond"/>
          <w:sz w:val="24"/>
          <w:szCs w:val="24"/>
        </w:rPr>
        <w:t>electric vehicles (</w:t>
      </w:r>
      <w:r w:rsidR="00564AE1" w:rsidRPr="00BA546F">
        <w:rPr>
          <w:rFonts w:ascii="Georgia" w:hAnsi="Georgia" w:cs="Garamond"/>
          <w:sz w:val="24"/>
          <w:szCs w:val="24"/>
        </w:rPr>
        <w:t>EVs</w:t>
      </w:r>
      <w:r w:rsidR="00EE65B8">
        <w:rPr>
          <w:rFonts w:ascii="Georgia" w:hAnsi="Georgia" w:cs="Garamond"/>
          <w:sz w:val="24"/>
          <w:szCs w:val="24"/>
        </w:rPr>
        <w:t>)</w:t>
      </w:r>
      <w:r w:rsidR="00564AE1" w:rsidRPr="00BA546F">
        <w:rPr>
          <w:rFonts w:ascii="Georgia" w:hAnsi="Georgia" w:cs="Garamond"/>
          <w:sz w:val="24"/>
          <w:szCs w:val="24"/>
        </w:rPr>
        <w:t xml:space="preserve"> </w:t>
      </w:r>
      <w:r w:rsidR="00587C75" w:rsidRPr="00BA546F">
        <w:rPr>
          <w:rFonts w:ascii="Georgia" w:hAnsi="Georgia" w:cs="Garamond"/>
          <w:sz w:val="24"/>
          <w:szCs w:val="24"/>
        </w:rPr>
        <w:t>are a</w:t>
      </w:r>
      <w:r w:rsidR="00564AE1" w:rsidRPr="00BA546F">
        <w:rPr>
          <w:rFonts w:ascii="Georgia" w:hAnsi="Georgia" w:cs="Garamond"/>
          <w:sz w:val="24"/>
          <w:szCs w:val="24"/>
        </w:rPr>
        <w:t xml:space="preserve"> reliable target for shift</w:t>
      </w:r>
      <w:r w:rsidR="00775A3F" w:rsidRPr="00BA546F">
        <w:rPr>
          <w:rFonts w:ascii="Georgia" w:hAnsi="Georgia" w:cs="Garamond"/>
          <w:sz w:val="24"/>
          <w:szCs w:val="24"/>
        </w:rPr>
        <w:t>ing</w:t>
      </w:r>
      <w:r w:rsidR="00564AE1" w:rsidRPr="00BA546F">
        <w:rPr>
          <w:rFonts w:ascii="Georgia" w:hAnsi="Georgia" w:cs="Garamond"/>
          <w:sz w:val="24"/>
          <w:szCs w:val="24"/>
        </w:rPr>
        <w:t xml:space="preserve"> usage to reduce peaks</w:t>
      </w:r>
      <w:r w:rsidR="004430F5" w:rsidRPr="00BA546F">
        <w:rPr>
          <w:rFonts w:ascii="Georgia" w:hAnsi="Georgia" w:cs="Garamond"/>
          <w:sz w:val="24"/>
          <w:szCs w:val="24"/>
        </w:rPr>
        <w:t>.</w:t>
      </w:r>
      <w:r w:rsidR="001A79EA" w:rsidRPr="00BA546F">
        <w:rPr>
          <w:rFonts w:ascii="Georgia" w:hAnsi="Georgia" w:cs="Garamond"/>
          <w:sz w:val="24"/>
          <w:szCs w:val="24"/>
        </w:rPr>
        <w:t xml:space="preserve"> </w:t>
      </w:r>
      <w:r w:rsidR="00C07BFB" w:rsidRPr="00BA546F">
        <w:rPr>
          <w:rFonts w:ascii="Georgia" w:hAnsi="Georgia" w:cs="Garamond"/>
          <w:sz w:val="24"/>
          <w:szCs w:val="24"/>
        </w:rPr>
        <w:t xml:space="preserve">A NYSERDA </w:t>
      </w:r>
      <w:r w:rsidR="003D4617">
        <w:rPr>
          <w:rFonts w:ascii="Georgia" w:hAnsi="Georgia" w:cs="Garamond"/>
          <w:sz w:val="24"/>
          <w:szCs w:val="24"/>
        </w:rPr>
        <w:t>review</w:t>
      </w:r>
      <w:r w:rsidR="009E3E86" w:rsidRPr="00BA546F">
        <w:rPr>
          <w:rFonts w:ascii="Georgia" w:hAnsi="Georgia" w:cs="Garamond"/>
          <w:sz w:val="24"/>
          <w:szCs w:val="24"/>
        </w:rPr>
        <w:t xml:space="preserve"> </w:t>
      </w:r>
      <w:r w:rsidR="00C07BFB" w:rsidRPr="00BA546F">
        <w:rPr>
          <w:rFonts w:ascii="Georgia" w:hAnsi="Georgia" w:cs="Garamond"/>
          <w:sz w:val="24"/>
          <w:szCs w:val="24"/>
        </w:rPr>
        <w:t xml:space="preserve">found that </w:t>
      </w:r>
      <w:r w:rsidR="001A79EA" w:rsidRPr="00BA546F">
        <w:rPr>
          <w:rFonts w:ascii="Georgia" w:hAnsi="Georgia" w:cs="Garamond"/>
          <w:sz w:val="24"/>
          <w:szCs w:val="24"/>
        </w:rPr>
        <w:t>EV charging represents the single largest opportunity for grid flexibility.</w:t>
      </w:r>
      <w:r w:rsidR="00AA5375">
        <w:rPr>
          <w:rStyle w:val="FootnoteReference"/>
          <w:rFonts w:ascii="Georgia" w:hAnsi="Georgia" w:cs="Garamond"/>
          <w:sz w:val="24"/>
          <w:szCs w:val="24"/>
        </w:rPr>
        <w:footnoteReference w:id="13"/>
      </w:r>
      <w:r w:rsidR="00CF58EF" w:rsidRPr="00BA546F">
        <w:rPr>
          <w:rFonts w:ascii="Georgia" w:hAnsi="Georgia" w:cs="Garamond"/>
          <w:sz w:val="24"/>
          <w:szCs w:val="24"/>
        </w:rPr>
        <w:t xml:space="preserve"> </w:t>
      </w:r>
      <w:r w:rsidR="00A3175B">
        <w:rPr>
          <w:rFonts w:ascii="Georgia" w:hAnsi="Georgia" w:cs="Garamond"/>
          <w:sz w:val="24"/>
          <w:szCs w:val="24"/>
        </w:rPr>
        <w:t>Such load shifts</w:t>
      </w:r>
      <w:r w:rsidR="00564AE1" w:rsidRPr="00BA546F">
        <w:rPr>
          <w:rFonts w:ascii="Georgia" w:hAnsi="Georgia" w:cs="Garamond"/>
          <w:sz w:val="24"/>
          <w:szCs w:val="24"/>
        </w:rPr>
        <w:t xml:space="preserve"> </w:t>
      </w:r>
      <w:r w:rsidR="00667C12" w:rsidRPr="00BA546F">
        <w:rPr>
          <w:rFonts w:ascii="Georgia" w:hAnsi="Georgia" w:cs="Garamond"/>
          <w:sz w:val="24"/>
          <w:szCs w:val="24"/>
        </w:rPr>
        <w:t>can be</w:t>
      </w:r>
      <w:r w:rsidR="00EE3A3D" w:rsidRPr="00BA546F">
        <w:rPr>
          <w:rFonts w:ascii="Georgia" w:hAnsi="Georgia" w:cs="Garamond"/>
          <w:sz w:val="24"/>
          <w:szCs w:val="24"/>
        </w:rPr>
        <w:t xml:space="preserve"> </w:t>
      </w:r>
      <w:r w:rsidR="00D04171" w:rsidRPr="00BA546F">
        <w:rPr>
          <w:rFonts w:ascii="Georgia" w:hAnsi="Georgia" w:cs="Garamond"/>
          <w:sz w:val="24"/>
          <w:szCs w:val="24"/>
        </w:rPr>
        <w:t xml:space="preserve">activated </w:t>
      </w:r>
      <w:r w:rsidR="00564AE1" w:rsidRPr="00BA546F">
        <w:rPr>
          <w:rFonts w:ascii="Georgia" w:hAnsi="Georgia" w:cs="Garamond"/>
          <w:sz w:val="24"/>
          <w:szCs w:val="24"/>
        </w:rPr>
        <w:t xml:space="preserve">through programed EV chargers </w:t>
      </w:r>
      <w:r w:rsidR="00E96DE2" w:rsidRPr="00BA546F">
        <w:rPr>
          <w:rFonts w:ascii="Georgia" w:hAnsi="Georgia" w:cs="Garamond"/>
          <w:sz w:val="24"/>
          <w:szCs w:val="24"/>
        </w:rPr>
        <w:t>or</w:t>
      </w:r>
      <w:r w:rsidR="00564AE1" w:rsidRPr="00BA546F">
        <w:rPr>
          <w:rFonts w:ascii="Georgia" w:hAnsi="Georgia" w:cs="Garamond"/>
          <w:sz w:val="24"/>
          <w:szCs w:val="24"/>
        </w:rPr>
        <w:t xml:space="preserve"> other aggregat</w:t>
      </w:r>
      <w:r w:rsidR="00DC76D2" w:rsidRPr="00BA546F">
        <w:rPr>
          <w:rFonts w:ascii="Georgia" w:hAnsi="Georgia" w:cs="Garamond"/>
          <w:sz w:val="24"/>
          <w:szCs w:val="24"/>
        </w:rPr>
        <w:t>ion</w:t>
      </w:r>
      <w:r w:rsidR="00564AE1" w:rsidRPr="00BA546F">
        <w:rPr>
          <w:rFonts w:ascii="Georgia" w:hAnsi="Georgia" w:cs="Garamond"/>
          <w:sz w:val="24"/>
          <w:szCs w:val="24"/>
        </w:rPr>
        <w:t xml:space="preserve"> technologies.</w:t>
      </w:r>
      <w:r w:rsidR="002B08CB" w:rsidRPr="00BA546F">
        <w:rPr>
          <w:rFonts w:ascii="Georgia" w:hAnsi="Georgia" w:cs="Garamond"/>
          <w:sz w:val="24"/>
          <w:szCs w:val="24"/>
        </w:rPr>
        <w:t xml:space="preserve"> </w:t>
      </w:r>
    </w:p>
    <w:p w14:paraId="2DE90965" w14:textId="77777777" w:rsidR="00A3175B" w:rsidRDefault="00A3175B" w:rsidP="00BA546F">
      <w:pPr>
        <w:widowControl/>
        <w:autoSpaceDE w:val="0"/>
        <w:autoSpaceDN w:val="0"/>
        <w:adjustRightInd w:val="0"/>
        <w:rPr>
          <w:rFonts w:ascii="Georgia" w:hAnsi="Georgia" w:cs="Garamond"/>
          <w:sz w:val="24"/>
          <w:szCs w:val="24"/>
        </w:rPr>
      </w:pPr>
    </w:p>
    <w:p w14:paraId="10E987EA" w14:textId="40CDB016" w:rsidR="00564AE1" w:rsidRPr="00BA546F" w:rsidRDefault="002B08CB" w:rsidP="006E7CA5">
      <w:pPr>
        <w:widowControl/>
        <w:autoSpaceDE w:val="0"/>
        <w:autoSpaceDN w:val="0"/>
        <w:adjustRightInd w:val="0"/>
        <w:rPr>
          <w:rFonts w:ascii="Georgia" w:hAnsi="Georgia" w:cs="Garamond"/>
          <w:sz w:val="24"/>
          <w:szCs w:val="24"/>
        </w:rPr>
      </w:pPr>
      <w:r w:rsidRPr="00BA546F">
        <w:rPr>
          <w:rFonts w:ascii="Georgia" w:hAnsi="Georgia" w:cs="Garamond"/>
          <w:sz w:val="24"/>
          <w:szCs w:val="24"/>
        </w:rPr>
        <w:t>Water heating is also readily targeted through device-specific controls.</w:t>
      </w:r>
      <w:r w:rsidR="00564AE1" w:rsidRPr="00BA546F">
        <w:rPr>
          <w:rFonts w:ascii="Georgia" w:hAnsi="Georgia" w:cs="Garamond"/>
          <w:sz w:val="24"/>
          <w:szCs w:val="24"/>
        </w:rPr>
        <w:t xml:space="preserve"> </w:t>
      </w:r>
    </w:p>
    <w:p w14:paraId="510FB491" w14:textId="5B394E90" w:rsidR="009F5C93" w:rsidRDefault="00BE51BB" w:rsidP="002416DE">
      <w:pPr>
        <w:widowControl/>
        <w:autoSpaceDE w:val="0"/>
        <w:autoSpaceDN w:val="0"/>
        <w:adjustRightInd w:val="0"/>
        <w:rPr>
          <w:rFonts w:ascii="Georgia" w:hAnsi="Georgia" w:cs="Garamond"/>
          <w:sz w:val="24"/>
          <w:szCs w:val="24"/>
        </w:rPr>
      </w:pPr>
      <w:r>
        <w:rPr>
          <w:rFonts w:ascii="Georgia" w:hAnsi="Georgia" w:cs="Garamond"/>
          <w:sz w:val="24"/>
          <w:szCs w:val="24"/>
        </w:rPr>
        <w:t xml:space="preserve">A </w:t>
      </w:r>
      <w:r w:rsidR="00FB3DBF">
        <w:rPr>
          <w:rFonts w:ascii="Georgia" w:hAnsi="Georgia" w:cs="Garamond"/>
          <w:sz w:val="24"/>
          <w:szCs w:val="24"/>
        </w:rPr>
        <w:t xml:space="preserve">Brattle Group </w:t>
      </w:r>
      <w:r w:rsidR="00855D63">
        <w:rPr>
          <w:rFonts w:ascii="Georgia" w:hAnsi="Georgia" w:cs="Garamond"/>
          <w:sz w:val="24"/>
          <w:szCs w:val="24"/>
        </w:rPr>
        <w:t>l</w:t>
      </w:r>
      <w:r w:rsidR="005F6DCE">
        <w:rPr>
          <w:rFonts w:ascii="Georgia" w:hAnsi="Georgia" w:cs="Garamond"/>
          <w:sz w:val="24"/>
          <w:szCs w:val="24"/>
        </w:rPr>
        <w:t xml:space="preserve">oad </w:t>
      </w:r>
      <w:r w:rsidR="00855D63">
        <w:rPr>
          <w:rFonts w:ascii="Georgia" w:hAnsi="Georgia" w:cs="Garamond"/>
          <w:sz w:val="24"/>
          <w:szCs w:val="24"/>
        </w:rPr>
        <w:t>f</w:t>
      </w:r>
      <w:r w:rsidR="005F6DCE">
        <w:rPr>
          <w:rFonts w:ascii="Georgia" w:hAnsi="Georgia" w:cs="Garamond"/>
          <w:sz w:val="24"/>
          <w:szCs w:val="24"/>
        </w:rPr>
        <w:t xml:space="preserve">lexibility analysis found </w:t>
      </w:r>
      <w:r w:rsidR="007F0A20">
        <w:rPr>
          <w:rFonts w:ascii="Georgia" w:hAnsi="Georgia" w:cs="Garamond"/>
          <w:sz w:val="24"/>
          <w:szCs w:val="24"/>
        </w:rPr>
        <w:t>multiple benefits</w:t>
      </w:r>
      <w:r w:rsidR="00B50A0E">
        <w:rPr>
          <w:rFonts w:ascii="Georgia" w:hAnsi="Georgia" w:cs="Garamond"/>
          <w:sz w:val="24"/>
          <w:szCs w:val="24"/>
        </w:rPr>
        <w:t xml:space="preserve"> </w:t>
      </w:r>
      <w:r w:rsidR="00D36D53">
        <w:rPr>
          <w:rFonts w:ascii="Georgia" w:hAnsi="Georgia" w:cs="Garamond"/>
          <w:sz w:val="24"/>
          <w:szCs w:val="24"/>
        </w:rPr>
        <w:t xml:space="preserve">realized </w:t>
      </w:r>
      <w:r w:rsidR="00D35377">
        <w:rPr>
          <w:rFonts w:ascii="Georgia" w:hAnsi="Georgia" w:cs="Garamond"/>
          <w:sz w:val="24"/>
          <w:szCs w:val="24"/>
        </w:rPr>
        <w:t>through a</w:t>
      </w:r>
      <w:r w:rsidR="00BC0464">
        <w:rPr>
          <w:rFonts w:ascii="Georgia" w:hAnsi="Georgia" w:cs="Garamond"/>
          <w:sz w:val="24"/>
          <w:szCs w:val="24"/>
        </w:rPr>
        <w:t xml:space="preserve"> managed</w:t>
      </w:r>
      <w:r w:rsidR="00D36D53">
        <w:rPr>
          <w:rFonts w:ascii="Georgia" w:hAnsi="Georgia" w:cs="Garamond"/>
          <w:sz w:val="24"/>
          <w:szCs w:val="24"/>
        </w:rPr>
        <w:t xml:space="preserve"> </w:t>
      </w:r>
      <w:r w:rsidR="00CD658E">
        <w:rPr>
          <w:rFonts w:ascii="Georgia" w:hAnsi="Georgia" w:cs="Garamond"/>
          <w:sz w:val="24"/>
          <w:szCs w:val="24"/>
        </w:rPr>
        <w:t>e</w:t>
      </w:r>
      <w:r w:rsidR="002416DE" w:rsidRPr="002416DE">
        <w:rPr>
          <w:rFonts w:ascii="Georgia" w:hAnsi="Georgia" w:cs="Garamond"/>
          <w:sz w:val="24"/>
          <w:szCs w:val="24"/>
        </w:rPr>
        <w:t xml:space="preserve">lectric water heating </w:t>
      </w:r>
      <w:r w:rsidR="00BC0464">
        <w:rPr>
          <w:rFonts w:ascii="Georgia" w:hAnsi="Georgia" w:cs="Garamond"/>
          <w:sz w:val="24"/>
          <w:szCs w:val="24"/>
        </w:rPr>
        <w:t>program</w:t>
      </w:r>
      <w:r w:rsidR="00B36D79">
        <w:rPr>
          <w:rFonts w:ascii="Georgia" w:hAnsi="Georgia" w:cs="Garamond"/>
          <w:sz w:val="24"/>
          <w:szCs w:val="24"/>
        </w:rPr>
        <w:t>. Specifically</w:t>
      </w:r>
      <w:r w:rsidR="00447D68">
        <w:rPr>
          <w:rFonts w:ascii="Georgia" w:hAnsi="Georgia" w:cs="Garamond"/>
          <w:sz w:val="24"/>
          <w:szCs w:val="24"/>
        </w:rPr>
        <w:t>,</w:t>
      </w:r>
    </w:p>
    <w:p w14:paraId="2EF5259F" w14:textId="77777777" w:rsidR="00BA7124" w:rsidRDefault="00BA7124" w:rsidP="002416DE">
      <w:pPr>
        <w:widowControl/>
        <w:autoSpaceDE w:val="0"/>
        <w:autoSpaceDN w:val="0"/>
        <w:adjustRightInd w:val="0"/>
        <w:rPr>
          <w:rFonts w:ascii="Georgia" w:hAnsi="Georgia" w:cs="Garamond"/>
          <w:sz w:val="24"/>
          <w:szCs w:val="24"/>
        </w:rPr>
      </w:pPr>
    </w:p>
    <w:p w14:paraId="24D77EA5" w14:textId="14DD26AC" w:rsidR="002416DE" w:rsidRPr="002416DE" w:rsidRDefault="002416DE" w:rsidP="00BB1C81">
      <w:pPr>
        <w:widowControl/>
        <w:autoSpaceDE w:val="0"/>
        <w:autoSpaceDN w:val="0"/>
        <w:adjustRightInd w:val="0"/>
        <w:ind w:left="720"/>
        <w:rPr>
          <w:rFonts w:ascii="Georgia" w:hAnsi="Georgia" w:cs="Garamond"/>
          <w:sz w:val="24"/>
          <w:szCs w:val="24"/>
        </w:rPr>
      </w:pPr>
      <w:r w:rsidRPr="002416DE">
        <w:rPr>
          <w:rFonts w:ascii="Georgia" w:hAnsi="Georgia" w:cs="Garamond"/>
          <w:sz w:val="24"/>
          <w:szCs w:val="24"/>
        </w:rPr>
        <w:t>Electric resistance water heating load can be controlled to provide several grid services. The thermal energy storage properties of the water tank work similar to a battery</w:t>
      </w:r>
      <w:r w:rsidR="007E39A7">
        <w:rPr>
          <w:rFonts w:ascii="Georgia" w:hAnsi="Georgia" w:cs="Garamond"/>
          <w:sz w:val="24"/>
          <w:szCs w:val="24"/>
        </w:rPr>
        <w:t>.</w:t>
      </w:r>
      <w:r w:rsidRPr="002416DE">
        <w:rPr>
          <w:rFonts w:ascii="Georgia" w:hAnsi="Georgia" w:cs="Garamond"/>
          <w:sz w:val="24"/>
          <w:szCs w:val="24"/>
        </w:rPr>
        <w:t xml:space="preserve"> While water heaters have been used to reduce peak capacity for decades, recent technological developments now allow for more flexibility in load control, including the provision of frequency regulation In the past few years, “grid-connected water heating” programs have been introduced in Arizona, California, Hawaii, Minnesota, Oregon, Vermont, and across PJM</w:t>
      </w:r>
      <w:r w:rsidR="00CF68C3">
        <w:rPr>
          <w:rFonts w:ascii="Georgia" w:hAnsi="Georgia" w:cs="Garamond"/>
          <w:sz w:val="24"/>
          <w:szCs w:val="24"/>
        </w:rPr>
        <w:t>.</w:t>
      </w:r>
      <w:r w:rsidR="00CF68C3">
        <w:rPr>
          <w:rStyle w:val="FootnoteReference"/>
          <w:rFonts w:ascii="Georgia" w:hAnsi="Georgia" w:cs="Garamond"/>
          <w:sz w:val="24"/>
          <w:szCs w:val="24"/>
        </w:rPr>
        <w:footnoteReference w:id="14"/>
      </w:r>
    </w:p>
    <w:p w14:paraId="17B900C4" w14:textId="77777777" w:rsidR="00447D68" w:rsidRDefault="00447D68" w:rsidP="00F76B30">
      <w:pPr>
        <w:widowControl/>
        <w:autoSpaceDE w:val="0"/>
        <w:autoSpaceDN w:val="0"/>
        <w:adjustRightInd w:val="0"/>
        <w:rPr>
          <w:rFonts w:ascii="Georgia" w:hAnsi="Georgia" w:cs="Garamond"/>
          <w:sz w:val="24"/>
          <w:szCs w:val="24"/>
        </w:rPr>
      </w:pPr>
    </w:p>
    <w:p w14:paraId="72136E9F" w14:textId="1DBDDC4C" w:rsidR="001E6195" w:rsidRDefault="000C4DAD" w:rsidP="00F76B30">
      <w:pPr>
        <w:widowControl/>
        <w:autoSpaceDE w:val="0"/>
        <w:autoSpaceDN w:val="0"/>
        <w:adjustRightInd w:val="0"/>
        <w:rPr>
          <w:rFonts w:ascii="Georgia" w:hAnsi="Georgia" w:cs="Garamond"/>
          <w:sz w:val="24"/>
          <w:szCs w:val="24"/>
        </w:rPr>
      </w:pPr>
      <w:r>
        <w:rPr>
          <w:rFonts w:ascii="Georgia" w:hAnsi="Georgia" w:cs="Garamond"/>
          <w:sz w:val="24"/>
          <w:szCs w:val="24"/>
        </w:rPr>
        <w:t xml:space="preserve">Considering the </w:t>
      </w:r>
      <w:r w:rsidR="009A4269">
        <w:rPr>
          <w:rFonts w:ascii="Georgia" w:hAnsi="Georgia" w:cs="Garamond"/>
          <w:sz w:val="24"/>
          <w:szCs w:val="24"/>
        </w:rPr>
        <w:t>full range of demand response programs</w:t>
      </w:r>
      <w:r w:rsidR="00F75B7A">
        <w:rPr>
          <w:rFonts w:ascii="Georgia" w:hAnsi="Georgia" w:cs="Garamond"/>
          <w:sz w:val="24"/>
          <w:szCs w:val="24"/>
        </w:rPr>
        <w:t xml:space="preserve"> will allow New England to</w:t>
      </w:r>
      <w:r w:rsidR="000673CF">
        <w:rPr>
          <w:rFonts w:ascii="Georgia" w:hAnsi="Georgia" w:cs="Garamond"/>
          <w:sz w:val="24"/>
          <w:szCs w:val="24"/>
        </w:rPr>
        <w:t xml:space="preserve"> make the most </w:t>
      </w:r>
      <w:r w:rsidR="00D35377">
        <w:rPr>
          <w:rFonts w:ascii="Georgia" w:hAnsi="Georgia" w:cs="Garamond"/>
          <w:sz w:val="24"/>
          <w:szCs w:val="24"/>
        </w:rPr>
        <w:t>cost-effective</w:t>
      </w:r>
      <w:r w:rsidR="000673CF">
        <w:rPr>
          <w:rFonts w:ascii="Georgia" w:hAnsi="Georgia" w:cs="Garamond"/>
          <w:sz w:val="24"/>
          <w:szCs w:val="24"/>
        </w:rPr>
        <w:t xml:space="preserve"> decisions </w:t>
      </w:r>
      <w:r w:rsidR="001E6195">
        <w:rPr>
          <w:rFonts w:ascii="Georgia" w:hAnsi="Georgia" w:cs="Garamond"/>
          <w:sz w:val="24"/>
          <w:szCs w:val="24"/>
        </w:rPr>
        <w:t>to support peak load reductions.</w:t>
      </w:r>
    </w:p>
    <w:p w14:paraId="62147E88" w14:textId="77777777" w:rsidR="001E6195" w:rsidRDefault="001E6195" w:rsidP="00F76B30">
      <w:pPr>
        <w:widowControl/>
        <w:autoSpaceDE w:val="0"/>
        <w:autoSpaceDN w:val="0"/>
        <w:adjustRightInd w:val="0"/>
        <w:rPr>
          <w:rFonts w:ascii="Georgia" w:hAnsi="Georgia" w:cs="Garamond"/>
          <w:sz w:val="24"/>
          <w:szCs w:val="24"/>
        </w:rPr>
      </w:pPr>
    </w:p>
    <w:p w14:paraId="0D4D2038" w14:textId="5152C186" w:rsidR="001E6195" w:rsidRPr="001E6195" w:rsidRDefault="001E6195" w:rsidP="006E7CA5">
      <w:pPr>
        <w:widowControl/>
        <w:autoSpaceDE w:val="0"/>
        <w:autoSpaceDN w:val="0"/>
        <w:adjustRightInd w:val="0"/>
        <w:rPr>
          <w:rFonts w:ascii="Georgia" w:hAnsi="Georgia" w:cs="Garamond"/>
          <w:sz w:val="24"/>
          <w:szCs w:val="24"/>
        </w:rPr>
      </w:pPr>
      <w:r w:rsidRPr="001E6195">
        <w:rPr>
          <w:rFonts w:ascii="Georgia" w:hAnsi="Georgia" w:cs="Garamond"/>
          <w:sz w:val="24"/>
          <w:szCs w:val="24"/>
        </w:rPr>
        <w:t>In addition, device specific demand response programs do not require extensive AMI reprogramming. Even in Maine, where the AMI implementation rate is listed as 99%, not a single meter is set up to report 1</w:t>
      </w:r>
      <w:r w:rsidR="00F831CC">
        <w:rPr>
          <w:rFonts w:ascii="Georgia" w:hAnsi="Georgia" w:cs="Garamond"/>
          <w:sz w:val="24"/>
          <w:szCs w:val="24"/>
        </w:rPr>
        <w:t>-</w:t>
      </w:r>
      <w:r w:rsidRPr="001E6195">
        <w:rPr>
          <w:rFonts w:ascii="Georgia" w:hAnsi="Georgia" w:cs="Garamond"/>
          <w:sz w:val="24"/>
          <w:szCs w:val="24"/>
        </w:rPr>
        <w:t xml:space="preserve">minute or </w:t>
      </w:r>
      <w:r w:rsidR="00D35377" w:rsidRPr="001E6195">
        <w:rPr>
          <w:rFonts w:ascii="Georgia" w:hAnsi="Georgia" w:cs="Garamond"/>
          <w:sz w:val="24"/>
          <w:szCs w:val="24"/>
        </w:rPr>
        <w:t>5-minute</w:t>
      </w:r>
      <w:r w:rsidRPr="001E6195">
        <w:rPr>
          <w:rFonts w:ascii="Georgia" w:hAnsi="Georgia" w:cs="Garamond"/>
          <w:sz w:val="24"/>
          <w:szCs w:val="24"/>
        </w:rPr>
        <w:t xml:space="preserve"> data intervals necessary to participate in wholesale market aggregation. There is a significant amount of time and expense needed to adjust the AMI system to accommodate TOU rates beyond the existing </w:t>
      </w:r>
      <w:r w:rsidR="00D35377" w:rsidRPr="001E6195">
        <w:rPr>
          <w:rFonts w:ascii="Georgia" w:hAnsi="Georgia" w:cs="Garamond"/>
          <w:sz w:val="24"/>
          <w:szCs w:val="24"/>
        </w:rPr>
        <w:t>small-scale</w:t>
      </w:r>
      <w:r w:rsidRPr="001E6195">
        <w:rPr>
          <w:rFonts w:ascii="Georgia" w:hAnsi="Georgia" w:cs="Garamond"/>
          <w:sz w:val="24"/>
          <w:szCs w:val="24"/>
        </w:rPr>
        <w:t xml:space="preserve"> programs. Ratepayers should not have to pay for large-scale do-overs of an AMI implementation that failed to deliver promised capabilities. Instead, device-specific </w:t>
      </w:r>
      <w:r w:rsidR="00F831CC">
        <w:rPr>
          <w:rFonts w:ascii="Georgia" w:hAnsi="Georgia" w:cs="Garamond"/>
          <w:sz w:val="24"/>
          <w:szCs w:val="24"/>
        </w:rPr>
        <w:t>sub</w:t>
      </w:r>
      <w:r w:rsidRPr="001E6195">
        <w:rPr>
          <w:rFonts w:ascii="Georgia" w:hAnsi="Georgia" w:cs="Garamond"/>
          <w:sz w:val="24"/>
          <w:szCs w:val="24"/>
        </w:rPr>
        <w:t xml:space="preserve">metering certification (particularly for EVs and water heaters) can be used as a more </w:t>
      </w:r>
      <w:r w:rsidR="00D35377" w:rsidRPr="001E6195">
        <w:rPr>
          <w:rFonts w:ascii="Georgia" w:hAnsi="Georgia" w:cs="Garamond"/>
          <w:sz w:val="24"/>
          <w:szCs w:val="24"/>
        </w:rPr>
        <w:t>cost-effective</w:t>
      </w:r>
      <w:r w:rsidRPr="001E6195">
        <w:rPr>
          <w:rFonts w:ascii="Georgia" w:hAnsi="Georgia" w:cs="Garamond"/>
          <w:sz w:val="24"/>
          <w:szCs w:val="24"/>
        </w:rPr>
        <w:t xml:space="preserve"> means of achieving the </w:t>
      </w:r>
      <w:r w:rsidR="00A65172">
        <w:rPr>
          <w:rFonts w:ascii="Georgia" w:hAnsi="Georgia" w:cs="Garamond"/>
          <w:sz w:val="24"/>
          <w:szCs w:val="24"/>
        </w:rPr>
        <w:t xml:space="preserve">region’s </w:t>
      </w:r>
      <w:r w:rsidRPr="001E6195">
        <w:rPr>
          <w:rFonts w:ascii="Georgia" w:hAnsi="Georgia" w:cs="Garamond"/>
          <w:sz w:val="24"/>
          <w:szCs w:val="24"/>
        </w:rPr>
        <w:t>load shifting goals</w:t>
      </w:r>
      <w:r w:rsidR="00A65172">
        <w:rPr>
          <w:rFonts w:ascii="Georgia" w:hAnsi="Georgia" w:cs="Garamond"/>
          <w:sz w:val="24"/>
          <w:szCs w:val="24"/>
        </w:rPr>
        <w:t>.</w:t>
      </w:r>
      <w:r w:rsidRPr="001E6195">
        <w:rPr>
          <w:rFonts w:ascii="Georgia" w:hAnsi="Georgia" w:cs="Garamond"/>
          <w:sz w:val="24"/>
          <w:szCs w:val="24"/>
        </w:rPr>
        <w:t xml:space="preserve"> </w:t>
      </w:r>
    </w:p>
    <w:p w14:paraId="04073261" w14:textId="77777777" w:rsidR="009A4269" w:rsidRPr="006C0DC5" w:rsidRDefault="009A4269" w:rsidP="00F76B30">
      <w:pPr>
        <w:widowControl/>
        <w:autoSpaceDE w:val="0"/>
        <w:autoSpaceDN w:val="0"/>
        <w:adjustRightInd w:val="0"/>
        <w:rPr>
          <w:rFonts w:ascii="Georgia" w:hAnsi="Georgia" w:cs="Garamond"/>
          <w:sz w:val="24"/>
          <w:szCs w:val="24"/>
        </w:rPr>
      </w:pPr>
    </w:p>
    <w:p w14:paraId="759DA8DF" w14:textId="29161250" w:rsidR="005D5D95" w:rsidRPr="006C0DC5" w:rsidRDefault="00DD0F51" w:rsidP="00CD0659">
      <w:pPr>
        <w:widowControl/>
        <w:autoSpaceDE w:val="0"/>
        <w:autoSpaceDN w:val="0"/>
        <w:adjustRightInd w:val="0"/>
        <w:ind w:firstLine="720"/>
        <w:rPr>
          <w:rFonts w:ascii="Georgia" w:hAnsi="Georgia" w:cs="Garamond"/>
          <w:sz w:val="24"/>
          <w:szCs w:val="24"/>
        </w:rPr>
      </w:pPr>
      <w:r>
        <w:rPr>
          <w:rFonts w:ascii="Georgia" w:hAnsi="Georgia" w:cs="Garamond"/>
          <w:sz w:val="24"/>
          <w:szCs w:val="24"/>
        </w:rPr>
        <w:t>4</w:t>
      </w:r>
      <w:r w:rsidR="00E337AF" w:rsidRPr="006C0DC5">
        <w:rPr>
          <w:rFonts w:ascii="Georgia" w:hAnsi="Georgia" w:cs="Garamond"/>
          <w:sz w:val="24"/>
          <w:szCs w:val="24"/>
        </w:rPr>
        <w:t xml:space="preserve">. </w:t>
      </w:r>
      <w:r w:rsidR="00DC7F11" w:rsidRPr="006C0DC5">
        <w:rPr>
          <w:rFonts w:ascii="Georgia" w:hAnsi="Georgia" w:cs="Garamond"/>
          <w:sz w:val="24"/>
          <w:szCs w:val="24"/>
        </w:rPr>
        <w:t xml:space="preserve">Addressing </w:t>
      </w:r>
      <w:r w:rsidR="00A72AF5" w:rsidRPr="006C0DC5">
        <w:rPr>
          <w:rFonts w:ascii="Georgia" w:hAnsi="Georgia" w:cs="Garamond"/>
          <w:sz w:val="24"/>
          <w:szCs w:val="24"/>
        </w:rPr>
        <w:t>Shortfall</w:t>
      </w:r>
      <w:r w:rsidR="00DC7F11" w:rsidRPr="006C0DC5">
        <w:rPr>
          <w:rFonts w:ascii="Georgia" w:hAnsi="Georgia" w:cs="Garamond"/>
          <w:sz w:val="24"/>
          <w:szCs w:val="24"/>
        </w:rPr>
        <w:t xml:space="preserve"> Events Greater than</w:t>
      </w:r>
      <w:r w:rsidR="00A72AF5" w:rsidRPr="006C0DC5">
        <w:rPr>
          <w:rFonts w:ascii="Georgia" w:hAnsi="Georgia" w:cs="Garamond"/>
          <w:sz w:val="24"/>
          <w:szCs w:val="24"/>
        </w:rPr>
        <w:t xml:space="preserve"> Six Hours</w:t>
      </w:r>
      <w:r w:rsidR="00661830">
        <w:rPr>
          <w:rFonts w:ascii="Georgia" w:hAnsi="Georgia" w:cs="Garamond"/>
          <w:sz w:val="24"/>
          <w:szCs w:val="24"/>
        </w:rPr>
        <w:t xml:space="preserve"> Through LDES</w:t>
      </w:r>
    </w:p>
    <w:p w14:paraId="5F2A3AAE" w14:textId="77777777" w:rsidR="00E337AF" w:rsidRPr="006C0DC5" w:rsidRDefault="00E337AF" w:rsidP="00F76B30">
      <w:pPr>
        <w:widowControl/>
        <w:autoSpaceDE w:val="0"/>
        <w:autoSpaceDN w:val="0"/>
        <w:adjustRightInd w:val="0"/>
        <w:rPr>
          <w:rFonts w:ascii="Georgia" w:hAnsi="Georgia" w:cs="Garamond"/>
          <w:sz w:val="24"/>
          <w:szCs w:val="24"/>
        </w:rPr>
      </w:pPr>
    </w:p>
    <w:p w14:paraId="348BCA90" w14:textId="365CEE4C" w:rsidR="00684A13" w:rsidRPr="006C0DC5" w:rsidRDefault="00684A13" w:rsidP="006E7CA5">
      <w:pPr>
        <w:widowControl/>
        <w:autoSpaceDE w:val="0"/>
        <w:autoSpaceDN w:val="0"/>
        <w:adjustRightInd w:val="0"/>
        <w:rPr>
          <w:rFonts w:ascii="Georgia" w:hAnsi="Georgia" w:cs="Garamond"/>
          <w:sz w:val="24"/>
          <w:szCs w:val="24"/>
        </w:rPr>
      </w:pPr>
      <w:r w:rsidRPr="006C0DC5">
        <w:rPr>
          <w:rFonts w:ascii="Georgia" w:hAnsi="Georgia" w:cs="Garamond"/>
          <w:sz w:val="24"/>
          <w:szCs w:val="24"/>
        </w:rPr>
        <w:t>The Report notes</w:t>
      </w:r>
      <w:r w:rsidR="00CF7855">
        <w:rPr>
          <w:rFonts w:ascii="Georgia" w:hAnsi="Georgia" w:cs="Garamond"/>
          <w:sz w:val="24"/>
          <w:szCs w:val="24"/>
        </w:rPr>
        <w:t>,</w:t>
      </w:r>
      <w:r w:rsidRPr="006C0DC5">
        <w:rPr>
          <w:rFonts w:ascii="Georgia" w:hAnsi="Georgia" w:cs="Garamond"/>
          <w:sz w:val="24"/>
          <w:szCs w:val="24"/>
        </w:rPr>
        <w:t xml:space="preserve"> </w:t>
      </w:r>
      <w:r w:rsidR="00B133DE" w:rsidRPr="006C0DC5">
        <w:rPr>
          <w:rFonts w:ascii="Georgia" w:hAnsi="Georgia" w:cs="Garamond"/>
          <w:sz w:val="24"/>
          <w:szCs w:val="24"/>
        </w:rPr>
        <w:t xml:space="preserve">“No collected program can provide flexibility for the entirety of an extended shortfall. </w:t>
      </w:r>
      <w:r w:rsidRPr="006C0DC5">
        <w:rPr>
          <w:rFonts w:ascii="Georgia" w:hAnsi="Georgia" w:cs="Garamond"/>
          <w:sz w:val="24"/>
          <w:szCs w:val="24"/>
        </w:rPr>
        <w:t>Reported load shed and battery storage program maximum event lengths range from three to six hours, which means that they only can address part of an extended shortfall (Medium alignment in Table 3).</w:t>
      </w:r>
      <w:r w:rsidR="00DC7F11" w:rsidRPr="006C0DC5">
        <w:rPr>
          <w:rFonts w:ascii="Georgia" w:hAnsi="Georgia" w:cs="Garamond"/>
          <w:sz w:val="24"/>
          <w:szCs w:val="24"/>
        </w:rPr>
        <w:t>”</w:t>
      </w:r>
      <w:r w:rsidR="00DC7F11" w:rsidRPr="006C0DC5">
        <w:rPr>
          <w:rStyle w:val="FootnoteReference"/>
          <w:rFonts w:ascii="Georgia" w:hAnsi="Georgia" w:cs="Garamond"/>
          <w:sz w:val="24"/>
          <w:szCs w:val="24"/>
        </w:rPr>
        <w:footnoteReference w:id="15"/>
      </w:r>
    </w:p>
    <w:p w14:paraId="529E63D9" w14:textId="77777777" w:rsidR="00D72015" w:rsidRPr="006C0DC5" w:rsidRDefault="00D72015" w:rsidP="004756E9">
      <w:pPr>
        <w:widowControl/>
        <w:autoSpaceDE w:val="0"/>
        <w:autoSpaceDN w:val="0"/>
        <w:adjustRightInd w:val="0"/>
        <w:rPr>
          <w:rFonts w:ascii="Georgia" w:hAnsi="Georgia" w:cs="Garamond"/>
          <w:sz w:val="24"/>
          <w:szCs w:val="24"/>
        </w:rPr>
      </w:pPr>
    </w:p>
    <w:p w14:paraId="56EE8EDE" w14:textId="6ED718DA" w:rsidR="00C94899" w:rsidRPr="006C0DC5" w:rsidRDefault="00D72015" w:rsidP="006E7CA5">
      <w:pPr>
        <w:widowControl/>
        <w:autoSpaceDE w:val="0"/>
        <w:autoSpaceDN w:val="0"/>
        <w:adjustRightInd w:val="0"/>
        <w:rPr>
          <w:rFonts w:ascii="Georgia" w:hAnsi="Georgia" w:cs="Garamond"/>
          <w:bCs/>
          <w:sz w:val="24"/>
          <w:szCs w:val="24"/>
        </w:rPr>
      </w:pPr>
      <w:r w:rsidRPr="006C0DC5">
        <w:rPr>
          <w:rFonts w:ascii="Georgia" w:hAnsi="Georgia" w:cs="Garamond"/>
          <w:sz w:val="24"/>
          <w:szCs w:val="24"/>
        </w:rPr>
        <w:t xml:space="preserve">It must be </w:t>
      </w:r>
      <w:r w:rsidR="00CF7855">
        <w:rPr>
          <w:rFonts w:ascii="Georgia" w:hAnsi="Georgia" w:cs="Garamond"/>
          <w:sz w:val="24"/>
          <w:szCs w:val="24"/>
        </w:rPr>
        <w:t>added</w:t>
      </w:r>
      <w:r w:rsidRPr="006C0DC5">
        <w:rPr>
          <w:rFonts w:ascii="Georgia" w:hAnsi="Georgia" w:cs="Garamond"/>
          <w:sz w:val="24"/>
          <w:szCs w:val="24"/>
        </w:rPr>
        <w:t xml:space="preserve"> that there </w:t>
      </w:r>
      <w:r w:rsidR="000D22FE" w:rsidRPr="006C0DC5">
        <w:rPr>
          <w:rFonts w:ascii="Georgia" w:hAnsi="Georgia" w:cs="Garamond"/>
          <w:sz w:val="24"/>
          <w:szCs w:val="24"/>
        </w:rPr>
        <w:t xml:space="preserve">are </w:t>
      </w:r>
      <w:r w:rsidRPr="006C0DC5">
        <w:rPr>
          <w:rFonts w:ascii="Georgia" w:hAnsi="Georgia" w:cs="Garamond"/>
          <w:sz w:val="24"/>
          <w:szCs w:val="24"/>
        </w:rPr>
        <w:t xml:space="preserve">commercially available </w:t>
      </w:r>
      <w:r w:rsidR="000D22FE" w:rsidRPr="006C0DC5">
        <w:rPr>
          <w:rFonts w:ascii="Georgia" w:hAnsi="Georgia" w:cs="Garamond"/>
          <w:sz w:val="24"/>
          <w:szCs w:val="24"/>
        </w:rPr>
        <w:t>Long Duration Energy Storage (LDES) batteries that</w:t>
      </w:r>
      <w:r w:rsidR="00DE77AF" w:rsidRPr="006C0DC5">
        <w:rPr>
          <w:rFonts w:ascii="Georgia" w:hAnsi="Georgia" w:cs="Garamond"/>
          <w:sz w:val="24"/>
          <w:szCs w:val="24"/>
        </w:rPr>
        <w:t xml:space="preserve"> have discharge periods</w:t>
      </w:r>
      <w:r w:rsidR="000D22FE" w:rsidRPr="006C0DC5">
        <w:rPr>
          <w:rFonts w:ascii="Georgia" w:hAnsi="Georgia" w:cs="Garamond"/>
          <w:sz w:val="24"/>
          <w:szCs w:val="24"/>
        </w:rPr>
        <w:t xml:space="preserve"> greater than 6 hours. </w:t>
      </w:r>
      <w:r w:rsidR="00F02A9C" w:rsidRPr="006C0DC5">
        <w:rPr>
          <w:rFonts w:ascii="Georgia" w:hAnsi="Georgia" w:cs="Garamond"/>
          <w:sz w:val="24"/>
          <w:szCs w:val="24"/>
        </w:rPr>
        <w:t>Recognizing</w:t>
      </w:r>
      <w:r w:rsidR="00CD3D5F" w:rsidRPr="006C0DC5">
        <w:rPr>
          <w:rFonts w:ascii="Georgia" w:hAnsi="Georgia" w:cs="Garamond"/>
          <w:sz w:val="24"/>
          <w:szCs w:val="24"/>
        </w:rPr>
        <w:t xml:space="preserve"> that the scope of this review was </w:t>
      </w:r>
      <w:r w:rsidR="00F02A9C" w:rsidRPr="006C0DC5">
        <w:rPr>
          <w:rFonts w:ascii="Georgia" w:hAnsi="Georgia" w:cs="Garamond"/>
          <w:sz w:val="24"/>
          <w:szCs w:val="24"/>
        </w:rPr>
        <w:t xml:space="preserve">on </w:t>
      </w:r>
      <w:r w:rsidR="00CD3D5F" w:rsidRPr="006C0DC5">
        <w:rPr>
          <w:rFonts w:ascii="Georgia" w:hAnsi="Georgia" w:cs="Garamond"/>
          <w:sz w:val="24"/>
          <w:szCs w:val="24"/>
        </w:rPr>
        <w:t>existing programs, it should not deter the Working Group f</w:t>
      </w:r>
      <w:r w:rsidR="00F02A9C" w:rsidRPr="006C0DC5">
        <w:rPr>
          <w:rFonts w:ascii="Georgia" w:hAnsi="Georgia" w:cs="Garamond"/>
          <w:sz w:val="24"/>
          <w:szCs w:val="24"/>
        </w:rPr>
        <w:t>rom</w:t>
      </w:r>
      <w:r w:rsidR="00CD3D5F" w:rsidRPr="006C0DC5">
        <w:rPr>
          <w:rFonts w:ascii="Georgia" w:hAnsi="Georgia" w:cs="Garamond"/>
          <w:sz w:val="24"/>
          <w:szCs w:val="24"/>
        </w:rPr>
        <w:t xml:space="preserve"> exploring </w:t>
      </w:r>
      <w:r w:rsidR="00F55390" w:rsidRPr="006C0DC5">
        <w:rPr>
          <w:rFonts w:ascii="Georgia" w:hAnsi="Georgia" w:cs="Garamond"/>
          <w:sz w:val="24"/>
          <w:szCs w:val="24"/>
        </w:rPr>
        <w:t>forward</w:t>
      </w:r>
      <w:r w:rsidR="00F831CC">
        <w:rPr>
          <w:rFonts w:ascii="Georgia" w:hAnsi="Georgia" w:cs="Garamond"/>
          <w:sz w:val="24"/>
          <w:szCs w:val="24"/>
        </w:rPr>
        <w:t>-</w:t>
      </w:r>
      <w:r w:rsidR="00F55390" w:rsidRPr="006C0DC5">
        <w:rPr>
          <w:rFonts w:ascii="Georgia" w:hAnsi="Georgia" w:cs="Garamond"/>
          <w:sz w:val="24"/>
          <w:szCs w:val="24"/>
        </w:rPr>
        <w:t>looking options.</w:t>
      </w:r>
      <w:r w:rsidR="00AB6094" w:rsidRPr="006C0DC5">
        <w:rPr>
          <w:rFonts w:ascii="Georgia" w:hAnsi="Georgia" w:cs="Garamond"/>
          <w:sz w:val="24"/>
          <w:szCs w:val="24"/>
        </w:rPr>
        <w:t xml:space="preserve"> </w:t>
      </w:r>
      <w:r w:rsidR="00462B70" w:rsidRPr="00462B70">
        <w:rPr>
          <w:rFonts w:ascii="Georgia" w:hAnsi="Georgia" w:cs="Garamond"/>
          <w:sz w:val="24"/>
          <w:szCs w:val="24"/>
        </w:rPr>
        <w:t>Though a program incorporating this capability does not exist presently, it does not mean that one cannot be developed.</w:t>
      </w:r>
      <w:r w:rsidR="00462B70">
        <w:rPr>
          <w:rFonts w:ascii="Georgia" w:hAnsi="Georgia" w:cs="Garamond"/>
          <w:sz w:val="24"/>
          <w:szCs w:val="24"/>
        </w:rPr>
        <w:t xml:space="preserve"> </w:t>
      </w:r>
      <w:r w:rsidR="00B13903" w:rsidRPr="006C0DC5">
        <w:rPr>
          <w:rFonts w:ascii="Georgia" w:hAnsi="Georgia" w:cs="Garamond"/>
          <w:sz w:val="24"/>
          <w:szCs w:val="24"/>
        </w:rPr>
        <w:t xml:space="preserve">The Maine Public Utilities Commission recently opened an </w:t>
      </w:r>
      <w:r w:rsidR="007C2B1E" w:rsidRPr="006C0DC5">
        <w:rPr>
          <w:rFonts w:ascii="Georgia" w:hAnsi="Georgia" w:cs="Garamond"/>
          <w:sz w:val="24"/>
          <w:szCs w:val="24"/>
        </w:rPr>
        <w:t>Inquiry</w:t>
      </w:r>
      <w:r w:rsidR="007C2B1E" w:rsidRPr="006C0DC5">
        <w:rPr>
          <w:rFonts w:ascii="Georgia" w:hAnsi="Georgia" w:cs="Garamond"/>
          <w:bCs/>
          <w:sz w:val="24"/>
          <w:szCs w:val="24"/>
        </w:rPr>
        <w:t xml:space="preserve"> into Energy Storage Reports </w:t>
      </w:r>
      <w:r w:rsidR="00A70E0D" w:rsidRPr="006C0DC5">
        <w:rPr>
          <w:rFonts w:ascii="Georgia" w:hAnsi="Georgia" w:cs="Garamond"/>
          <w:bCs/>
          <w:sz w:val="24"/>
          <w:szCs w:val="24"/>
        </w:rPr>
        <w:t>(</w:t>
      </w:r>
      <w:bookmarkStart w:id="5" w:name="_Hlk206506855"/>
      <w:r w:rsidR="007C2B1E" w:rsidRPr="006C0DC5">
        <w:rPr>
          <w:rFonts w:ascii="Georgia" w:hAnsi="Georgia" w:cs="Garamond"/>
          <w:bCs/>
          <w:sz w:val="24"/>
          <w:szCs w:val="24"/>
        </w:rPr>
        <w:t>Docket No.  2025-00148</w:t>
      </w:r>
      <w:bookmarkEnd w:id="5"/>
      <w:r w:rsidR="00A70E0D" w:rsidRPr="006C0DC5">
        <w:rPr>
          <w:rFonts w:ascii="Georgia" w:hAnsi="Georgia" w:cs="Garamond"/>
          <w:bCs/>
          <w:sz w:val="24"/>
          <w:szCs w:val="24"/>
        </w:rPr>
        <w:t>)</w:t>
      </w:r>
      <w:r w:rsidR="00BE15A7" w:rsidRPr="006C0DC5">
        <w:rPr>
          <w:rFonts w:ascii="Georgia" w:hAnsi="Georgia" w:cs="Garamond"/>
          <w:bCs/>
          <w:sz w:val="24"/>
          <w:szCs w:val="24"/>
        </w:rPr>
        <w:t xml:space="preserve"> to investigate incentive programs for energy storage</w:t>
      </w:r>
      <w:r w:rsidR="001B5F55" w:rsidRPr="006C0DC5">
        <w:rPr>
          <w:rFonts w:ascii="Georgia" w:hAnsi="Georgia" w:cs="Garamond"/>
          <w:bCs/>
          <w:sz w:val="24"/>
          <w:szCs w:val="24"/>
        </w:rPr>
        <w:t>. Several</w:t>
      </w:r>
      <w:r w:rsidR="0083783A" w:rsidRPr="006C0DC5">
        <w:rPr>
          <w:rFonts w:ascii="Georgia" w:hAnsi="Georgia" w:cs="Garamond"/>
          <w:bCs/>
          <w:sz w:val="24"/>
          <w:szCs w:val="24"/>
        </w:rPr>
        <w:t xml:space="preserve"> LDES developers</w:t>
      </w:r>
      <w:r w:rsidR="004340D3" w:rsidRPr="006C0DC5">
        <w:rPr>
          <w:rFonts w:ascii="Georgia" w:hAnsi="Georgia" w:cs="Garamond"/>
          <w:bCs/>
          <w:sz w:val="24"/>
          <w:szCs w:val="24"/>
        </w:rPr>
        <w:t xml:space="preserve"> </w:t>
      </w:r>
      <w:r w:rsidR="00C1774D" w:rsidRPr="006C0DC5">
        <w:rPr>
          <w:rFonts w:ascii="Georgia" w:hAnsi="Georgia" w:cs="Garamond"/>
          <w:bCs/>
          <w:sz w:val="24"/>
          <w:szCs w:val="24"/>
        </w:rPr>
        <w:t xml:space="preserve">and the Long Duration Energy Storage Council </w:t>
      </w:r>
      <w:r w:rsidR="0083783A" w:rsidRPr="006C0DC5">
        <w:rPr>
          <w:rFonts w:ascii="Georgia" w:hAnsi="Georgia" w:cs="Garamond"/>
          <w:bCs/>
          <w:sz w:val="24"/>
          <w:szCs w:val="24"/>
        </w:rPr>
        <w:t xml:space="preserve">filed information about energy storage systems </w:t>
      </w:r>
      <w:r w:rsidR="007E47B0" w:rsidRPr="006C0DC5">
        <w:rPr>
          <w:rFonts w:ascii="Georgia" w:hAnsi="Georgia" w:cs="Garamond"/>
          <w:bCs/>
          <w:sz w:val="24"/>
          <w:szCs w:val="24"/>
        </w:rPr>
        <w:t>with</w:t>
      </w:r>
      <w:r w:rsidR="0083783A" w:rsidRPr="006C0DC5">
        <w:rPr>
          <w:rFonts w:ascii="Georgia" w:hAnsi="Georgia" w:cs="Garamond"/>
          <w:bCs/>
          <w:sz w:val="24"/>
          <w:szCs w:val="24"/>
        </w:rPr>
        <w:t xml:space="preserve"> durations longer than 10 hours.</w:t>
      </w:r>
      <w:r w:rsidR="003E11EE">
        <w:rPr>
          <w:rStyle w:val="FootnoteReference"/>
          <w:rFonts w:ascii="Georgia" w:hAnsi="Georgia" w:cs="Garamond"/>
          <w:bCs/>
          <w:sz w:val="24"/>
          <w:szCs w:val="24"/>
        </w:rPr>
        <w:footnoteReference w:id="16"/>
      </w:r>
      <w:r w:rsidR="00DD0F51">
        <w:rPr>
          <w:rFonts w:ascii="Georgia" w:hAnsi="Georgia" w:cs="Garamond"/>
          <w:bCs/>
          <w:sz w:val="24"/>
          <w:szCs w:val="24"/>
        </w:rPr>
        <w:t xml:space="preserve"> </w:t>
      </w:r>
      <w:r w:rsidR="00AF2B6F">
        <w:rPr>
          <w:rFonts w:ascii="Georgia" w:hAnsi="Georgia" w:cs="Garamond"/>
          <w:bCs/>
          <w:sz w:val="24"/>
          <w:szCs w:val="24"/>
        </w:rPr>
        <w:t>They explained that a</w:t>
      </w:r>
      <w:r w:rsidR="00ED67CF" w:rsidRPr="006C0DC5">
        <w:rPr>
          <w:rFonts w:ascii="Georgia" w:hAnsi="Georgia" w:cs="Garamond"/>
          <w:bCs/>
          <w:sz w:val="24"/>
          <w:szCs w:val="24"/>
        </w:rPr>
        <w:t xml:space="preserve"> diverse set of </w:t>
      </w:r>
      <w:r w:rsidR="003D3BB6" w:rsidRPr="006C0DC5">
        <w:rPr>
          <w:rFonts w:ascii="Georgia" w:hAnsi="Georgia" w:cs="Garamond"/>
          <w:bCs/>
          <w:sz w:val="24"/>
          <w:szCs w:val="24"/>
        </w:rPr>
        <w:t xml:space="preserve">commercial ready </w:t>
      </w:r>
      <w:r w:rsidR="00ED67CF" w:rsidRPr="006C0DC5">
        <w:rPr>
          <w:rFonts w:ascii="Georgia" w:hAnsi="Georgia" w:cs="Garamond"/>
          <w:bCs/>
          <w:sz w:val="24"/>
          <w:szCs w:val="24"/>
        </w:rPr>
        <w:t xml:space="preserve">LDES </w:t>
      </w:r>
      <w:r w:rsidR="003D3BB6" w:rsidRPr="006C0DC5">
        <w:rPr>
          <w:rFonts w:ascii="Georgia" w:hAnsi="Georgia" w:cs="Garamond"/>
          <w:bCs/>
          <w:sz w:val="24"/>
          <w:szCs w:val="24"/>
        </w:rPr>
        <w:t>technologies exist today</w:t>
      </w:r>
      <w:r w:rsidR="00F831CC">
        <w:rPr>
          <w:rFonts w:ascii="Georgia" w:hAnsi="Georgia" w:cs="Garamond"/>
          <w:bCs/>
          <w:sz w:val="24"/>
          <w:szCs w:val="24"/>
        </w:rPr>
        <w:t>,</w:t>
      </w:r>
      <w:r w:rsidR="003D3BB6" w:rsidRPr="006C0DC5">
        <w:rPr>
          <w:rFonts w:ascii="Georgia" w:hAnsi="Georgia" w:cs="Garamond"/>
          <w:bCs/>
          <w:sz w:val="24"/>
          <w:szCs w:val="24"/>
        </w:rPr>
        <w:t xml:space="preserve"> including </w:t>
      </w:r>
      <w:r w:rsidR="003C4C7E" w:rsidRPr="006C0DC5">
        <w:rPr>
          <w:rFonts w:ascii="Georgia" w:hAnsi="Georgia" w:cs="Garamond"/>
          <w:bCs/>
          <w:sz w:val="24"/>
          <w:szCs w:val="24"/>
        </w:rPr>
        <w:t>thermal energy storage</w:t>
      </w:r>
      <w:r w:rsidR="005423C8" w:rsidRPr="006C0DC5">
        <w:rPr>
          <w:rFonts w:ascii="Georgia" w:hAnsi="Georgia" w:cs="Garamond"/>
          <w:bCs/>
          <w:sz w:val="24"/>
          <w:szCs w:val="24"/>
        </w:rPr>
        <w:t>,</w:t>
      </w:r>
      <w:r w:rsidR="005E35D0" w:rsidRPr="006C0DC5">
        <w:rPr>
          <w:rFonts w:ascii="Georgia" w:hAnsi="Georgia" w:cs="Garamond"/>
          <w:bCs/>
          <w:sz w:val="24"/>
          <w:szCs w:val="24"/>
        </w:rPr>
        <w:t xml:space="preserve"> iron-air b</w:t>
      </w:r>
      <w:r w:rsidR="003C4C7E" w:rsidRPr="006C0DC5">
        <w:rPr>
          <w:rFonts w:ascii="Georgia" w:hAnsi="Georgia" w:cs="Garamond"/>
          <w:bCs/>
          <w:sz w:val="24"/>
          <w:szCs w:val="24"/>
        </w:rPr>
        <w:t xml:space="preserve">atteries, flow </w:t>
      </w:r>
      <w:r w:rsidR="005E35D0" w:rsidRPr="006C0DC5">
        <w:rPr>
          <w:rFonts w:ascii="Georgia" w:hAnsi="Georgia" w:cs="Garamond"/>
          <w:bCs/>
          <w:sz w:val="24"/>
          <w:szCs w:val="24"/>
        </w:rPr>
        <w:t>batteries</w:t>
      </w:r>
      <w:r w:rsidR="003C4C7E" w:rsidRPr="006C0DC5">
        <w:rPr>
          <w:rFonts w:ascii="Georgia" w:hAnsi="Georgia" w:cs="Garamond"/>
          <w:bCs/>
          <w:sz w:val="24"/>
          <w:szCs w:val="24"/>
        </w:rPr>
        <w:t xml:space="preserve">, compressed air, </w:t>
      </w:r>
      <w:r w:rsidR="004751D6" w:rsidRPr="006C0DC5">
        <w:rPr>
          <w:rFonts w:ascii="Georgia" w:hAnsi="Georgia" w:cs="Garamond"/>
          <w:bCs/>
          <w:sz w:val="24"/>
          <w:szCs w:val="24"/>
        </w:rPr>
        <w:t xml:space="preserve">and </w:t>
      </w:r>
      <w:r w:rsidR="003C4C7E" w:rsidRPr="006C0DC5">
        <w:rPr>
          <w:rFonts w:ascii="Georgia" w:hAnsi="Georgia" w:cs="Garamond"/>
          <w:bCs/>
          <w:sz w:val="24"/>
          <w:szCs w:val="24"/>
        </w:rPr>
        <w:t>mechanical gravity systems</w:t>
      </w:r>
      <w:r w:rsidR="00BE2CE3" w:rsidRPr="006C0DC5">
        <w:rPr>
          <w:rFonts w:ascii="Georgia" w:hAnsi="Georgia" w:cs="Garamond"/>
          <w:bCs/>
          <w:sz w:val="24"/>
          <w:szCs w:val="24"/>
        </w:rPr>
        <w:t xml:space="preserve"> </w:t>
      </w:r>
      <w:r w:rsidR="00195353" w:rsidRPr="006C0DC5">
        <w:rPr>
          <w:rFonts w:ascii="Georgia" w:hAnsi="Georgia" w:cs="Garamond"/>
          <w:bCs/>
          <w:sz w:val="24"/>
          <w:szCs w:val="24"/>
        </w:rPr>
        <w:t xml:space="preserve">that </w:t>
      </w:r>
      <w:r w:rsidR="00BE2CE3" w:rsidRPr="006C0DC5">
        <w:rPr>
          <w:rFonts w:ascii="Georgia" w:hAnsi="Georgia" w:cs="Garamond"/>
          <w:bCs/>
          <w:sz w:val="24"/>
          <w:szCs w:val="24"/>
        </w:rPr>
        <w:t>can</w:t>
      </w:r>
      <w:r w:rsidR="00C94899" w:rsidRPr="006C0DC5">
        <w:rPr>
          <w:rFonts w:ascii="Georgia" w:hAnsi="Georgia" w:cs="Garamond"/>
          <w:bCs/>
          <w:sz w:val="24"/>
          <w:szCs w:val="24"/>
        </w:rPr>
        <w:t xml:space="preserve"> offer solutions </w:t>
      </w:r>
      <w:r w:rsidR="00BE2CE3" w:rsidRPr="006C0DC5">
        <w:rPr>
          <w:rFonts w:ascii="Georgia" w:hAnsi="Georgia" w:cs="Garamond"/>
          <w:bCs/>
          <w:sz w:val="24"/>
          <w:szCs w:val="24"/>
        </w:rPr>
        <w:t>t</w:t>
      </w:r>
      <w:r w:rsidR="00195353" w:rsidRPr="006C0DC5">
        <w:rPr>
          <w:rFonts w:ascii="Georgia" w:hAnsi="Georgia" w:cs="Garamond"/>
          <w:bCs/>
          <w:sz w:val="24"/>
          <w:szCs w:val="24"/>
        </w:rPr>
        <w:t>o</w:t>
      </w:r>
      <w:r w:rsidR="00C94899" w:rsidRPr="006C0DC5">
        <w:rPr>
          <w:rFonts w:ascii="Georgia" w:hAnsi="Georgia" w:cs="Garamond"/>
          <w:bCs/>
          <w:sz w:val="24"/>
          <w:szCs w:val="24"/>
        </w:rPr>
        <w:t xml:space="preserve"> bridge energy supply shortfalls greater than 6 hours. </w:t>
      </w:r>
    </w:p>
    <w:p w14:paraId="18EBB0E5" w14:textId="77777777" w:rsidR="00C94899" w:rsidRPr="006C0DC5" w:rsidRDefault="00C94899" w:rsidP="00C94899">
      <w:pPr>
        <w:widowControl/>
        <w:autoSpaceDE w:val="0"/>
        <w:autoSpaceDN w:val="0"/>
        <w:adjustRightInd w:val="0"/>
        <w:rPr>
          <w:rFonts w:ascii="Georgia" w:hAnsi="Georgia" w:cs="Garamond"/>
          <w:bCs/>
          <w:sz w:val="24"/>
          <w:szCs w:val="24"/>
        </w:rPr>
      </w:pPr>
    </w:p>
    <w:p w14:paraId="01C15A95" w14:textId="142B8E2C" w:rsidR="0049232C" w:rsidRPr="006C0DC5" w:rsidRDefault="00BB5906" w:rsidP="006E7CA5">
      <w:pPr>
        <w:widowControl/>
        <w:autoSpaceDE w:val="0"/>
        <w:autoSpaceDN w:val="0"/>
        <w:adjustRightInd w:val="0"/>
        <w:rPr>
          <w:rFonts w:ascii="Georgia" w:hAnsi="Georgia" w:cs="Garamond"/>
          <w:sz w:val="24"/>
          <w:szCs w:val="24"/>
        </w:rPr>
      </w:pPr>
      <w:r w:rsidRPr="006C0DC5">
        <w:rPr>
          <w:rFonts w:ascii="Georgia" w:hAnsi="Georgia" w:cs="Garamond"/>
          <w:sz w:val="24"/>
          <w:szCs w:val="24"/>
        </w:rPr>
        <w:t>Maine recently undertook an analysis of the need for energy storage</w:t>
      </w:r>
      <w:r w:rsidR="00423CC3" w:rsidRPr="006C0DC5">
        <w:rPr>
          <w:rFonts w:ascii="Georgia" w:hAnsi="Georgia" w:cs="Garamond"/>
          <w:sz w:val="24"/>
          <w:szCs w:val="24"/>
        </w:rPr>
        <w:t>, described</w:t>
      </w:r>
      <w:r w:rsidRPr="006C0DC5">
        <w:rPr>
          <w:rFonts w:ascii="Georgia" w:hAnsi="Georgia" w:cs="Garamond"/>
          <w:sz w:val="24"/>
          <w:szCs w:val="24"/>
        </w:rPr>
        <w:t xml:space="preserve"> in </w:t>
      </w:r>
      <w:r w:rsidRPr="006C0DC5">
        <w:rPr>
          <w:rFonts w:ascii="Georgia" w:hAnsi="Georgia" w:cs="Garamond"/>
          <w:i/>
          <w:iCs/>
          <w:sz w:val="24"/>
          <w:szCs w:val="24"/>
        </w:rPr>
        <w:t>Maine Energy Storage Program Recommendations</w:t>
      </w:r>
      <w:r w:rsidR="00CF7DF9">
        <w:rPr>
          <w:rFonts w:ascii="Georgia" w:hAnsi="Georgia" w:cs="Garamond"/>
          <w:i/>
          <w:iCs/>
          <w:sz w:val="24"/>
          <w:szCs w:val="24"/>
        </w:rPr>
        <w:t>.</w:t>
      </w:r>
      <w:r w:rsidRPr="006E7CA5">
        <w:rPr>
          <w:rFonts w:ascii="Georgia" w:hAnsi="Georgia" w:cs="Garamond"/>
          <w:sz w:val="24"/>
          <w:szCs w:val="24"/>
          <w:vertAlign w:val="superscript"/>
        </w:rPr>
        <w:footnoteReference w:id="17"/>
      </w:r>
      <w:r w:rsidRPr="006C0DC5">
        <w:rPr>
          <w:rFonts w:ascii="Georgia" w:hAnsi="Georgia" w:cs="Garamond"/>
          <w:sz w:val="24"/>
          <w:szCs w:val="24"/>
        </w:rPr>
        <w:t xml:space="preserve"> </w:t>
      </w:r>
      <w:r w:rsidR="004756E9" w:rsidRPr="006C0DC5">
        <w:rPr>
          <w:rFonts w:ascii="Georgia" w:hAnsi="Georgia" w:cs="Garamond"/>
          <w:sz w:val="24"/>
          <w:szCs w:val="24"/>
        </w:rPr>
        <w:t xml:space="preserve">The analysis </w:t>
      </w:r>
      <w:r w:rsidR="005C1BED" w:rsidRPr="006C0DC5">
        <w:rPr>
          <w:rFonts w:ascii="Georgia" w:hAnsi="Georgia" w:cs="Garamond"/>
          <w:sz w:val="24"/>
          <w:szCs w:val="24"/>
        </w:rPr>
        <w:t>project</w:t>
      </w:r>
      <w:r w:rsidR="004756E9" w:rsidRPr="006C0DC5">
        <w:rPr>
          <w:rFonts w:ascii="Georgia" w:hAnsi="Georgia" w:cs="Garamond"/>
          <w:sz w:val="24"/>
          <w:szCs w:val="24"/>
        </w:rPr>
        <w:t>s that Maine becomes winter peaking in 2038.</w:t>
      </w:r>
      <w:r w:rsidR="004756E9" w:rsidRPr="006C0DC5">
        <w:rPr>
          <w:rFonts w:ascii="Georgia" w:hAnsi="Georgia" w:cs="Garamond"/>
          <w:sz w:val="24"/>
          <w:szCs w:val="24"/>
          <w:vertAlign w:val="superscript"/>
        </w:rPr>
        <w:footnoteReference w:id="18"/>
      </w:r>
      <w:r w:rsidR="004756E9" w:rsidRPr="006C0DC5">
        <w:rPr>
          <w:rFonts w:ascii="Georgia" w:hAnsi="Georgia" w:cs="Garamond"/>
          <w:sz w:val="24"/>
          <w:szCs w:val="24"/>
        </w:rPr>
        <w:t xml:space="preserve"> </w:t>
      </w:r>
      <w:r w:rsidR="007D6AB4" w:rsidRPr="006C0DC5">
        <w:rPr>
          <w:rFonts w:ascii="Georgia" w:hAnsi="Georgia" w:cs="Garamond"/>
          <w:sz w:val="24"/>
          <w:szCs w:val="24"/>
        </w:rPr>
        <w:t>The analysis also indicates</w:t>
      </w:r>
      <w:r w:rsidR="004756E9" w:rsidRPr="006C0DC5">
        <w:rPr>
          <w:rFonts w:ascii="Georgia" w:hAnsi="Georgia" w:cs="Garamond"/>
          <w:sz w:val="24"/>
          <w:szCs w:val="24"/>
        </w:rPr>
        <w:t xml:space="preserve"> that the winter capacity value of a 6-hour storage system in 2038 is 41% and falls rapidly after that.</w:t>
      </w:r>
      <w:r w:rsidR="004756E9" w:rsidRPr="006C0DC5">
        <w:rPr>
          <w:rFonts w:ascii="Georgia" w:hAnsi="Georgia" w:cs="Garamond"/>
          <w:sz w:val="24"/>
          <w:szCs w:val="24"/>
          <w:vertAlign w:val="superscript"/>
        </w:rPr>
        <w:footnoteReference w:id="19"/>
      </w:r>
      <w:r w:rsidR="004756E9" w:rsidRPr="006C0DC5">
        <w:rPr>
          <w:rFonts w:ascii="Georgia" w:hAnsi="Georgia" w:cs="Garamond"/>
          <w:sz w:val="24"/>
          <w:szCs w:val="24"/>
        </w:rPr>
        <w:t xml:space="preserve"> The ability of 6-hour systems to meet long</w:t>
      </w:r>
      <w:r w:rsidR="00461614" w:rsidRPr="006C0DC5">
        <w:rPr>
          <w:rFonts w:ascii="Georgia" w:hAnsi="Georgia" w:cs="Garamond"/>
          <w:sz w:val="24"/>
          <w:szCs w:val="24"/>
        </w:rPr>
        <w:t>er</w:t>
      </w:r>
      <w:r w:rsidR="004756E9" w:rsidRPr="006C0DC5">
        <w:rPr>
          <w:rFonts w:ascii="Georgia" w:hAnsi="Georgia" w:cs="Garamond"/>
          <w:sz w:val="24"/>
          <w:szCs w:val="24"/>
        </w:rPr>
        <w:t xml:space="preserve">-term capacity needs will rapidly decrease </w:t>
      </w:r>
      <w:r w:rsidR="009D4FA5" w:rsidRPr="006C0DC5">
        <w:rPr>
          <w:rFonts w:ascii="Georgia" w:hAnsi="Georgia" w:cs="Garamond"/>
          <w:sz w:val="24"/>
          <w:szCs w:val="24"/>
        </w:rPr>
        <w:t xml:space="preserve">over a 20 year period, the </w:t>
      </w:r>
      <w:r w:rsidR="00DF64C4" w:rsidRPr="006C0DC5">
        <w:rPr>
          <w:rFonts w:ascii="Georgia" w:hAnsi="Georgia" w:cs="Garamond"/>
          <w:sz w:val="24"/>
          <w:szCs w:val="24"/>
        </w:rPr>
        <w:t>typical length of a long term power purchase contract</w:t>
      </w:r>
      <w:r w:rsidR="002A172F" w:rsidRPr="006C0DC5">
        <w:rPr>
          <w:rFonts w:ascii="Georgia" w:hAnsi="Georgia" w:cs="Garamond"/>
          <w:sz w:val="24"/>
          <w:szCs w:val="24"/>
        </w:rPr>
        <w:t xml:space="preserve"> and during the useful </w:t>
      </w:r>
      <w:r w:rsidR="00A10F06" w:rsidRPr="006C0DC5">
        <w:rPr>
          <w:rFonts w:ascii="Georgia" w:hAnsi="Georgia" w:cs="Garamond"/>
          <w:sz w:val="24"/>
          <w:szCs w:val="24"/>
        </w:rPr>
        <w:t xml:space="preserve">life </w:t>
      </w:r>
      <w:r w:rsidR="002A172F" w:rsidRPr="006C0DC5">
        <w:rPr>
          <w:rFonts w:ascii="Georgia" w:hAnsi="Georgia" w:cs="Garamond"/>
          <w:sz w:val="24"/>
          <w:szCs w:val="24"/>
        </w:rPr>
        <w:t xml:space="preserve">of </w:t>
      </w:r>
      <w:r w:rsidR="001B4D6B">
        <w:rPr>
          <w:rFonts w:ascii="Georgia" w:hAnsi="Georgia" w:cs="Garamond"/>
          <w:sz w:val="24"/>
          <w:szCs w:val="24"/>
        </w:rPr>
        <w:t>a</w:t>
      </w:r>
      <w:r w:rsidR="002A172F" w:rsidRPr="006C0DC5">
        <w:rPr>
          <w:rFonts w:ascii="Georgia" w:hAnsi="Georgia" w:cs="Garamond"/>
          <w:sz w:val="24"/>
          <w:szCs w:val="24"/>
        </w:rPr>
        <w:t xml:space="preserve"> </w:t>
      </w:r>
      <w:r w:rsidR="00AF2DF2" w:rsidRPr="006C0DC5">
        <w:rPr>
          <w:rFonts w:ascii="Georgia" w:hAnsi="Georgia" w:cs="Garamond"/>
          <w:sz w:val="24"/>
          <w:szCs w:val="24"/>
        </w:rPr>
        <w:t xml:space="preserve">6-hour system. </w:t>
      </w:r>
      <w:r w:rsidR="00DF685E" w:rsidRPr="006C0DC5">
        <w:rPr>
          <w:rFonts w:ascii="Georgia" w:hAnsi="Georgia" w:cs="Garamond"/>
          <w:sz w:val="24"/>
          <w:szCs w:val="24"/>
        </w:rPr>
        <w:t xml:space="preserve"> </w:t>
      </w:r>
      <w:r w:rsidR="00FE5918" w:rsidRPr="006C0DC5">
        <w:rPr>
          <w:rFonts w:ascii="Georgia" w:hAnsi="Georgia" w:cs="Garamond"/>
          <w:sz w:val="24"/>
          <w:szCs w:val="24"/>
        </w:rPr>
        <w:t>I</w:t>
      </w:r>
      <w:r w:rsidR="004756E9" w:rsidRPr="006C0DC5">
        <w:rPr>
          <w:rFonts w:ascii="Georgia" w:hAnsi="Georgia" w:cs="Garamond"/>
          <w:sz w:val="24"/>
          <w:szCs w:val="24"/>
        </w:rPr>
        <w:t xml:space="preserve">n the near term, </w:t>
      </w:r>
      <w:r w:rsidR="00AF2DF2" w:rsidRPr="006C0DC5">
        <w:rPr>
          <w:rFonts w:ascii="Georgia" w:hAnsi="Georgia" w:cs="Garamond"/>
          <w:sz w:val="24"/>
          <w:szCs w:val="24"/>
        </w:rPr>
        <w:t xml:space="preserve">such a </w:t>
      </w:r>
      <w:r w:rsidR="004756E9" w:rsidRPr="006C0DC5">
        <w:rPr>
          <w:rFonts w:ascii="Georgia" w:hAnsi="Georgia" w:cs="Garamond"/>
          <w:sz w:val="24"/>
          <w:szCs w:val="24"/>
        </w:rPr>
        <w:t xml:space="preserve">short duration </w:t>
      </w:r>
      <w:r w:rsidR="00D26403" w:rsidRPr="006C0DC5">
        <w:rPr>
          <w:rFonts w:ascii="Georgia" w:hAnsi="Georgia" w:cs="Garamond"/>
          <w:sz w:val="24"/>
          <w:szCs w:val="24"/>
        </w:rPr>
        <w:t xml:space="preserve">battery storage </w:t>
      </w:r>
      <w:r w:rsidR="004756E9" w:rsidRPr="006C0DC5">
        <w:rPr>
          <w:rFonts w:ascii="Georgia" w:hAnsi="Georgia" w:cs="Garamond"/>
          <w:sz w:val="24"/>
          <w:szCs w:val="24"/>
        </w:rPr>
        <w:t xml:space="preserve">system may be adequate. However, </w:t>
      </w:r>
      <w:r w:rsidR="00D26403" w:rsidRPr="006C0DC5">
        <w:rPr>
          <w:rFonts w:ascii="Georgia" w:hAnsi="Georgia" w:cs="Garamond"/>
          <w:sz w:val="24"/>
          <w:szCs w:val="24"/>
        </w:rPr>
        <w:t>t</w:t>
      </w:r>
      <w:r w:rsidR="004756E9" w:rsidRPr="006C0DC5">
        <w:rPr>
          <w:rFonts w:ascii="Georgia" w:hAnsi="Georgia" w:cs="Garamond"/>
          <w:sz w:val="24"/>
          <w:szCs w:val="24"/>
        </w:rPr>
        <w:t xml:space="preserve">here are commercially available </w:t>
      </w:r>
      <w:r w:rsidR="00757CA2" w:rsidRPr="006C0DC5">
        <w:rPr>
          <w:rFonts w:ascii="Georgia" w:hAnsi="Georgia" w:cs="Garamond"/>
          <w:sz w:val="24"/>
          <w:szCs w:val="24"/>
        </w:rPr>
        <w:t xml:space="preserve">LDES </w:t>
      </w:r>
      <w:r w:rsidR="004756E9" w:rsidRPr="006C0DC5">
        <w:rPr>
          <w:rFonts w:ascii="Georgia" w:hAnsi="Georgia" w:cs="Garamond"/>
          <w:sz w:val="24"/>
          <w:szCs w:val="24"/>
        </w:rPr>
        <w:t xml:space="preserve">battery systems that can meet the 6-hour objective in the near term </w:t>
      </w:r>
      <w:r w:rsidR="00D26403" w:rsidRPr="006C0DC5">
        <w:rPr>
          <w:rFonts w:ascii="Georgia" w:hAnsi="Georgia" w:cs="Garamond"/>
          <w:sz w:val="24"/>
          <w:szCs w:val="24"/>
        </w:rPr>
        <w:t>and</w:t>
      </w:r>
      <w:r w:rsidR="004756E9" w:rsidRPr="006C0DC5">
        <w:rPr>
          <w:rFonts w:ascii="Georgia" w:hAnsi="Georgia" w:cs="Garamond"/>
          <w:sz w:val="24"/>
          <w:szCs w:val="24"/>
        </w:rPr>
        <w:t xml:space="preserve"> operate over longer duration</w:t>
      </w:r>
      <w:r w:rsidR="006339A5" w:rsidRPr="006C0DC5">
        <w:rPr>
          <w:rFonts w:ascii="Georgia" w:hAnsi="Georgia" w:cs="Garamond"/>
          <w:sz w:val="24"/>
          <w:szCs w:val="24"/>
        </w:rPr>
        <w:t>s</w:t>
      </w:r>
      <w:r w:rsidR="004756E9" w:rsidRPr="006C0DC5">
        <w:rPr>
          <w:rFonts w:ascii="Georgia" w:hAnsi="Georgia" w:cs="Garamond"/>
          <w:sz w:val="24"/>
          <w:szCs w:val="24"/>
        </w:rPr>
        <w:t xml:space="preserve"> in the long term. </w:t>
      </w:r>
      <w:r w:rsidR="00F75E9C" w:rsidRPr="006C0DC5">
        <w:rPr>
          <w:rFonts w:ascii="Georgia" w:hAnsi="Georgia" w:cs="Garamond"/>
          <w:sz w:val="24"/>
          <w:szCs w:val="24"/>
        </w:rPr>
        <w:t xml:space="preserve">Incorporating the capabilities of LDES into system planning for </w:t>
      </w:r>
      <w:r w:rsidR="0049232C" w:rsidRPr="006C0DC5">
        <w:rPr>
          <w:rFonts w:ascii="Georgia" w:hAnsi="Georgia" w:cs="Garamond"/>
          <w:sz w:val="24"/>
          <w:szCs w:val="24"/>
        </w:rPr>
        <w:t xml:space="preserve">Winter Demand Response Programs in New England will result in </w:t>
      </w:r>
      <w:r w:rsidR="00CB2224" w:rsidRPr="006C0DC5">
        <w:rPr>
          <w:rFonts w:ascii="Georgia" w:hAnsi="Georgia" w:cs="Garamond"/>
          <w:sz w:val="24"/>
          <w:szCs w:val="24"/>
        </w:rPr>
        <w:t xml:space="preserve">more </w:t>
      </w:r>
      <w:r w:rsidR="009B4087" w:rsidRPr="006C0DC5">
        <w:rPr>
          <w:rFonts w:ascii="Georgia" w:hAnsi="Georgia" w:cs="Garamond"/>
          <w:sz w:val="24"/>
          <w:szCs w:val="24"/>
        </w:rPr>
        <w:t>cost-effective</w:t>
      </w:r>
      <w:r w:rsidR="00CB2224" w:rsidRPr="006C0DC5">
        <w:rPr>
          <w:rFonts w:ascii="Georgia" w:hAnsi="Georgia" w:cs="Garamond"/>
          <w:sz w:val="24"/>
          <w:szCs w:val="24"/>
        </w:rPr>
        <w:t xml:space="preserve"> </w:t>
      </w:r>
      <w:r w:rsidR="0049232C" w:rsidRPr="006C0DC5">
        <w:rPr>
          <w:rFonts w:ascii="Georgia" w:hAnsi="Georgia" w:cs="Garamond"/>
          <w:sz w:val="24"/>
          <w:szCs w:val="24"/>
        </w:rPr>
        <w:t>program designs</w:t>
      </w:r>
      <w:r w:rsidR="00CB2224" w:rsidRPr="006C0DC5">
        <w:rPr>
          <w:rFonts w:ascii="Georgia" w:hAnsi="Georgia" w:cs="Garamond"/>
          <w:sz w:val="24"/>
          <w:szCs w:val="24"/>
        </w:rPr>
        <w:t xml:space="preserve"> for long term system needs. </w:t>
      </w:r>
    </w:p>
    <w:p w14:paraId="35E2E1A2" w14:textId="77777777" w:rsidR="00B8567E" w:rsidRPr="006C0DC5" w:rsidRDefault="00B8567E" w:rsidP="004756E9">
      <w:pPr>
        <w:widowControl/>
        <w:autoSpaceDE w:val="0"/>
        <w:autoSpaceDN w:val="0"/>
        <w:adjustRightInd w:val="0"/>
        <w:rPr>
          <w:rFonts w:ascii="Georgia" w:hAnsi="Georgia" w:cs="Garamond"/>
          <w:sz w:val="24"/>
          <w:szCs w:val="24"/>
        </w:rPr>
      </w:pPr>
    </w:p>
    <w:p w14:paraId="26F7543E" w14:textId="68E11848" w:rsidR="00B8567E" w:rsidRPr="006C0DC5" w:rsidRDefault="00B8567E" w:rsidP="006E7CA5">
      <w:pPr>
        <w:widowControl/>
        <w:autoSpaceDE w:val="0"/>
        <w:autoSpaceDN w:val="0"/>
        <w:adjustRightInd w:val="0"/>
        <w:rPr>
          <w:rFonts w:ascii="Georgia" w:hAnsi="Georgia" w:cs="Garamond"/>
          <w:sz w:val="24"/>
          <w:szCs w:val="24"/>
        </w:rPr>
      </w:pPr>
      <w:r w:rsidRPr="006C0DC5">
        <w:rPr>
          <w:rFonts w:ascii="Georgia" w:hAnsi="Georgia" w:cs="Garamond"/>
          <w:sz w:val="24"/>
          <w:szCs w:val="24"/>
        </w:rPr>
        <w:lastRenderedPageBreak/>
        <w:t xml:space="preserve">The OPA supports the </w:t>
      </w:r>
      <w:r w:rsidR="00F32A58" w:rsidRPr="006C0DC5">
        <w:rPr>
          <w:rFonts w:ascii="Georgia" w:hAnsi="Georgia" w:cs="Garamond"/>
          <w:sz w:val="24"/>
          <w:szCs w:val="24"/>
        </w:rPr>
        <w:t xml:space="preserve">Report’s </w:t>
      </w:r>
      <w:r w:rsidRPr="006C0DC5">
        <w:rPr>
          <w:rFonts w:ascii="Georgia" w:hAnsi="Georgia" w:cs="Garamond"/>
          <w:sz w:val="24"/>
          <w:szCs w:val="24"/>
        </w:rPr>
        <w:t xml:space="preserve">recommendation </w:t>
      </w:r>
      <w:r w:rsidR="00A8545C" w:rsidRPr="006C0DC5">
        <w:rPr>
          <w:rFonts w:ascii="Georgia" w:hAnsi="Georgia" w:cs="Garamond"/>
          <w:sz w:val="24"/>
          <w:szCs w:val="24"/>
        </w:rPr>
        <w:t xml:space="preserve">for future </w:t>
      </w:r>
      <w:r w:rsidR="00D35377" w:rsidRPr="006C0DC5">
        <w:rPr>
          <w:rFonts w:ascii="Georgia" w:hAnsi="Georgia" w:cs="Garamond"/>
          <w:sz w:val="24"/>
          <w:szCs w:val="24"/>
        </w:rPr>
        <w:t>analys</w:t>
      </w:r>
      <w:r w:rsidR="00D35377">
        <w:rPr>
          <w:rFonts w:ascii="Georgia" w:hAnsi="Georgia" w:cs="Garamond"/>
          <w:sz w:val="24"/>
          <w:szCs w:val="24"/>
        </w:rPr>
        <w:t>is</w:t>
      </w:r>
      <w:r w:rsidR="004760C0" w:rsidRPr="006C0DC5">
        <w:rPr>
          <w:rFonts w:ascii="Georgia" w:hAnsi="Georgia" w:cs="Garamond"/>
          <w:sz w:val="24"/>
          <w:szCs w:val="24"/>
        </w:rPr>
        <w:t>.</w:t>
      </w:r>
      <w:r w:rsidR="00A8545C" w:rsidRPr="006C0DC5">
        <w:rPr>
          <w:rFonts w:ascii="Georgia" w:hAnsi="Georgia" w:cs="Garamond"/>
          <w:sz w:val="24"/>
          <w:szCs w:val="24"/>
        </w:rPr>
        <w:t xml:space="preserve"> </w:t>
      </w:r>
      <w:r w:rsidR="004760C0" w:rsidRPr="006C0DC5">
        <w:rPr>
          <w:rFonts w:ascii="Georgia" w:hAnsi="Georgia" w:cs="Garamond"/>
          <w:sz w:val="24"/>
          <w:szCs w:val="24"/>
        </w:rPr>
        <w:t>E</w:t>
      </w:r>
      <w:r w:rsidR="00A8545C" w:rsidRPr="006C0DC5">
        <w:rPr>
          <w:rFonts w:ascii="Georgia" w:hAnsi="Georgia" w:cs="Garamond"/>
          <w:sz w:val="24"/>
          <w:szCs w:val="24"/>
        </w:rPr>
        <w:t xml:space="preserve">stimating </w:t>
      </w:r>
      <w:r w:rsidRPr="006C0DC5">
        <w:rPr>
          <w:rFonts w:ascii="Georgia" w:hAnsi="Georgia" w:cs="Garamond"/>
          <w:sz w:val="24"/>
          <w:szCs w:val="24"/>
        </w:rPr>
        <w:t>demand response potential during the weather events in which ISO-NE identifie</w:t>
      </w:r>
      <w:r w:rsidR="009C2CF9" w:rsidRPr="006C0DC5">
        <w:rPr>
          <w:rFonts w:ascii="Georgia" w:hAnsi="Georgia" w:cs="Garamond"/>
          <w:sz w:val="24"/>
          <w:szCs w:val="24"/>
        </w:rPr>
        <w:t>s</w:t>
      </w:r>
      <w:r w:rsidRPr="006C0DC5">
        <w:rPr>
          <w:rFonts w:ascii="Georgia" w:hAnsi="Georgia" w:cs="Garamond"/>
          <w:sz w:val="24"/>
          <w:szCs w:val="24"/>
        </w:rPr>
        <w:t xml:space="preserve"> shortfall risks</w:t>
      </w:r>
      <w:r w:rsidR="00BF4979" w:rsidRPr="006C0DC5">
        <w:rPr>
          <w:rStyle w:val="FootnoteReference"/>
          <w:rFonts w:ascii="Georgia" w:hAnsi="Georgia" w:cs="Garamond"/>
          <w:sz w:val="24"/>
          <w:szCs w:val="24"/>
        </w:rPr>
        <w:footnoteReference w:id="20"/>
      </w:r>
      <w:r w:rsidR="00614088" w:rsidRPr="006C0DC5">
        <w:rPr>
          <w:rFonts w:ascii="Georgia" w:hAnsi="Georgia" w:cs="Garamond"/>
          <w:sz w:val="24"/>
          <w:szCs w:val="24"/>
        </w:rPr>
        <w:t xml:space="preserve"> </w:t>
      </w:r>
      <w:r w:rsidR="008D6DEA" w:rsidRPr="006C0DC5">
        <w:rPr>
          <w:rFonts w:ascii="Georgia" w:hAnsi="Georgia" w:cs="Garamond"/>
          <w:sz w:val="24"/>
          <w:szCs w:val="24"/>
        </w:rPr>
        <w:t xml:space="preserve">will </w:t>
      </w:r>
      <w:r w:rsidR="000C3B37" w:rsidRPr="006C0DC5">
        <w:rPr>
          <w:rFonts w:ascii="Georgia" w:hAnsi="Georgia" w:cs="Garamond"/>
          <w:sz w:val="24"/>
          <w:szCs w:val="24"/>
        </w:rPr>
        <w:t>promote</w:t>
      </w:r>
      <w:r w:rsidR="00486880" w:rsidRPr="006C0DC5">
        <w:rPr>
          <w:rFonts w:ascii="Georgia" w:hAnsi="Georgia" w:cs="Garamond"/>
          <w:sz w:val="24"/>
          <w:szCs w:val="24"/>
        </w:rPr>
        <w:t xml:space="preserve"> </w:t>
      </w:r>
      <w:r w:rsidR="009C2CF9" w:rsidRPr="006C0DC5">
        <w:rPr>
          <w:rFonts w:ascii="Georgia" w:hAnsi="Georgia" w:cs="Garamond"/>
          <w:sz w:val="24"/>
          <w:szCs w:val="24"/>
        </w:rPr>
        <w:t xml:space="preserve">the most </w:t>
      </w:r>
      <w:r w:rsidR="0019524D" w:rsidRPr="006C0DC5">
        <w:rPr>
          <w:rFonts w:ascii="Georgia" w:hAnsi="Georgia" w:cs="Garamond"/>
          <w:sz w:val="24"/>
          <w:szCs w:val="24"/>
        </w:rPr>
        <w:t>cost-effective</w:t>
      </w:r>
      <w:r w:rsidR="009C2CF9" w:rsidRPr="006C0DC5">
        <w:rPr>
          <w:rFonts w:ascii="Georgia" w:hAnsi="Georgia" w:cs="Garamond"/>
          <w:sz w:val="24"/>
          <w:szCs w:val="24"/>
        </w:rPr>
        <w:t xml:space="preserve"> </w:t>
      </w:r>
      <w:r w:rsidR="00D310BA" w:rsidRPr="006C0DC5">
        <w:rPr>
          <w:rFonts w:ascii="Georgia" w:hAnsi="Georgia" w:cs="Garamond"/>
          <w:sz w:val="24"/>
          <w:szCs w:val="24"/>
        </w:rPr>
        <w:t xml:space="preserve">interventions. </w:t>
      </w:r>
      <w:r w:rsidR="00F84FD4">
        <w:rPr>
          <w:rFonts w:ascii="Georgia" w:hAnsi="Georgia" w:cs="Garamond"/>
          <w:sz w:val="24"/>
          <w:szCs w:val="24"/>
        </w:rPr>
        <w:t xml:space="preserve">Using the results of </w:t>
      </w:r>
      <w:r w:rsidR="00BC56C4">
        <w:rPr>
          <w:rFonts w:ascii="Georgia" w:hAnsi="Georgia" w:cs="Garamond"/>
          <w:sz w:val="24"/>
          <w:szCs w:val="24"/>
        </w:rPr>
        <w:t xml:space="preserve">such </w:t>
      </w:r>
      <w:r w:rsidR="001804A4">
        <w:rPr>
          <w:rFonts w:ascii="Georgia" w:hAnsi="Georgia" w:cs="Garamond"/>
          <w:sz w:val="24"/>
          <w:szCs w:val="24"/>
        </w:rPr>
        <w:t>analyses</w:t>
      </w:r>
      <w:r w:rsidR="00BC56C4">
        <w:rPr>
          <w:rFonts w:ascii="Georgia" w:hAnsi="Georgia" w:cs="Garamond"/>
          <w:sz w:val="24"/>
          <w:szCs w:val="24"/>
        </w:rPr>
        <w:t xml:space="preserve">, </w:t>
      </w:r>
      <w:r w:rsidR="00024C9D" w:rsidRPr="006C0DC5">
        <w:rPr>
          <w:rFonts w:ascii="Georgia" w:hAnsi="Georgia" w:cs="Garamond"/>
          <w:sz w:val="24"/>
          <w:szCs w:val="24"/>
        </w:rPr>
        <w:t>w</w:t>
      </w:r>
      <w:r w:rsidR="00614088" w:rsidRPr="006C0DC5">
        <w:rPr>
          <w:rFonts w:ascii="Georgia" w:hAnsi="Georgia" w:cs="Garamond"/>
          <w:sz w:val="24"/>
          <w:szCs w:val="24"/>
        </w:rPr>
        <w:t xml:space="preserve">inter dynamic rates </w:t>
      </w:r>
      <w:r w:rsidR="00BC56C4">
        <w:rPr>
          <w:rFonts w:ascii="Georgia" w:hAnsi="Georgia" w:cs="Garamond"/>
          <w:sz w:val="24"/>
          <w:szCs w:val="24"/>
        </w:rPr>
        <w:t>may be developed</w:t>
      </w:r>
      <w:r w:rsidR="00614088" w:rsidRPr="006C0DC5">
        <w:rPr>
          <w:rFonts w:ascii="Georgia" w:hAnsi="Georgia" w:cs="Garamond"/>
          <w:sz w:val="24"/>
          <w:szCs w:val="24"/>
        </w:rPr>
        <w:t xml:space="preserve"> in </w:t>
      </w:r>
      <w:r w:rsidR="00916675" w:rsidRPr="006C0DC5">
        <w:rPr>
          <w:rFonts w:ascii="Georgia" w:hAnsi="Georgia" w:cs="Garamond"/>
          <w:sz w:val="24"/>
          <w:szCs w:val="24"/>
        </w:rPr>
        <w:t>support of</w:t>
      </w:r>
      <w:r w:rsidR="001D60D7" w:rsidRPr="006C0DC5">
        <w:rPr>
          <w:rFonts w:ascii="Georgia" w:hAnsi="Georgia" w:cs="Garamond"/>
          <w:sz w:val="24"/>
          <w:szCs w:val="24"/>
        </w:rPr>
        <w:t>, not in conflict with</w:t>
      </w:r>
      <w:r w:rsidR="00B359B7" w:rsidRPr="006C0DC5">
        <w:rPr>
          <w:rFonts w:ascii="Georgia" w:hAnsi="Georgia" w:cs="Garamond"/>
          <w:sz w:val="24"/>
          <w:szCs w:val="24"/>
        </w:rPr>
        <w:t>,</w:t>
      </w:r>
      <w:r w:rsidR="00614088" w:rsidRPr="006C0DC5">
        <w:rPr>
          <w:rFonts w:ascii="Georgia" w:hAnsi="Georgia" w:cs="Garamond"/>
          <w:sz w:val="24"/>
          <w:szCs w:val="24"/>
        </w:rPr>
        <w:t xml:space="preserve"> </w:t>
      </w:r>
      <w:r w:rsidR="00B359B7" w:rsidRPr="006C0DC5">
        <w:rPr>
          <w:rFonts w:ascii="Georgia" w:hAnsi="Georgia" w:cs="Garamond"/>
          <w:sz w:val="24"/>
          <w:szCs w:val="24"/>
        </w:rPr>
        <w:t xml:space="preserve">heat pump adoption </w:t>
      </w:r>
      <w:r w:rsidR="00024C9D" w:rsidRPr="006C0DC5">
        <w:rPr>
          <w:rFonts w:ascii="Georgia" w:hAnsi="Georgia" w:cs="Garamond"/>
          <w:sz w:val="24"/>
          <w:szCs w:val="24"/>
        </w:rPr>
        <w:t xml:space="preserve">initiatives </w:t>
      </w:r>
      <w:r w:rsidR="007F7D8E" w:rsidRPr="006C0DC5">
        <w:rPr>
          <w:rFonts w:ascii="Georgia" w:hAnsi="Georgia" w:cs="Garamond"/>
          <w:sz w:val="24"/>
          <w:szCs w:val="24"/>
        </w:rPr>
        <w:t xml:space="preserve">undertaken </w:t>
      </w:r>
      <w:r w:rsidR="00024C9D" w:rsidRPr="006C0DC5">
        <w:rPr>
          <w:rFonts w:ascii="Georgia" w:hAnsi="Georgia" w:cs="Garamond"/>
          <w:sz w:val="24"/>
          <w:szCs w:val="24"/>
        </w:rPr>
        <w:t xml:space="preserve">to meet </w:t>
      </w:r>
      <w:r w:rsidR="00AE1FC7" w:rsidRPr="006C0DC5">
        <w:rPr>
          <w:rFonts w:ascii="Georgia" w:hAnsi="Georgia" w:cs="Garamond"/>
          <w:sz w:val="24"/>
          <w:szCs w:val="24"/>
        </w:rPr>
        <w:t>climate policy goals</w:t>
      </w:r>
      <w:r w:rsidR="00A346E6">
        <w:rPr>
          <w:rFonts w:ascii="Georgia" w:hAnsi="Georgia" w:cs="Garamond"/>
          <w:sz w:val="24"/>
          <w:szCs w:val="24"/>
        </w:rPr>
        <w:t xml:space="preserve"> and make the most efficient use of technological advancements in program design and battery storage </w:t>
      </w:r>
      <w:r w:rsidR="00C87DA5">
        <w:rPr>
          <w:rFonts w:ascii="Georgia" w:hAnsi="Georgia" w:cs="Garamond"/>
          <w:sz w:val="24"/>
          <w:szCs w:val="24"/>
        </w:rPr>
        <w:t>capabilities</w:t>
      </w:r>
      <w:r w:rsidR="00A346E6">
        <w:rPr>
          <w:rFonts w:ascii="Georgia" w:hAnsi="Georgia" w:cs="Garamond"/>
          <w:sz w:val="24"/>
          <w:szCs w:val="24"/>
        </w:rPr>
        <w:t>.</w:t>
      </w:r>
    </w:p>
    <w:p w14:paraId="7BA34258" w14:textId="78C6C411" w:rsidR="00BB5906" w:rsidRPr="006C0DC5" w:rsidRDefault="00BB5906" w:rsidP="00F76B30">
      <w:pPr>
        <w:widowControl/>
        <w:autoSpaceDE w:val="0"/>
        <w:autoSpaceDN w:val="0"/>
        <w:adjustRightInd w:val="0"/>
        <w:rPr>
          <w:rFonts w:ascii="Georgia" w:hAnsi="Georgia" w:cs="Garamond"/>
          <w:sz w:val="24"/>
          <w:szCs w:val="24"/>
        </w:rPr>
      </w:pPr>
    </w:p>
    <w:p w14:paraId="50AB2310" w14:textId="77777777" w:rsidR="00E53A2E" w:rsidRPr="006C0DC5" w:rsidRDefault="00E53A2E" w:rsidP="00C519C5">
      <w:pPr>
        <w:rPr>
          <w:rFonts w:ascii="Georgia" w:hAnsi="Georgia" w:cs="Times New Roman"/>
          <w:sz w:val="24"/>
          <w:szCs w:val="24"/>
        </w:rPr>
      </w:pPr>
    </w:p>
    <w:p w14:paraId="2646F7B3" w14:textId="77777777" w:rsidR="00F76B30" w:rsidRPr="006C0DC5" w:rsidRDefault="00F76B30" w:rsidP="003E5915">
      <w:pPr>
        <w:rPr>
          <w:rFonts w:ascii="Georgia" w:hAnsi="Georgia" w:cs="Garamond"/>
          <w:sz w:val="24"/>
          <w:szCs w:val="24"/>
        </w:rPr>
      </w:pPr>
    </w:p>
    <w:p w14:paraId="54B330A9" w14:textId="774BEE9A" w:rsidR="00E43A98" w:rsidRPr="006C0DC5" w:rsidRDefault="009A1F30" w:rsidP="00191968">
      <w:pPr>
        <w:widowControl/>
        <w:tabs>
          <w:tab w:val="left" w:pos="5040"/>
        </w:tabs>
        <w:autoSpaceDE w:val="0"/>
        <w:autoSpaceDN w:val="0"/>
        <w:adjustRightInd w:val="0"/>
        <w:rPr>
          <w:rFonts w:ascii="Georgia" w:hAnsi="Georgia" w:cs="Garamond"/>
          <w:sz w:val="24"/>
          <w:szCs w:val="24"/>
        </w:rPr>
      </w:pPr>
      <w:r w:rsidRPr="006C0DC5">
        <w:rPr>
          <w:rFonts w:ascii="Georgia" w:hAnsi="Georgia" w:cs="Garamond"/>
          <w:sz w:val="24"/>
          <w:szCs w:val="24"/>
        </w:rPr>
        <w:tab/>
      </w:r>
      <w:r w:rsidR="002D4DD2" w:rsidRPr="006C0DC5">
        <w:rPr>
          <w:rFonts w:ascii="Georgia" w:hAnsi="Georgia" w:cs="Garamond"/>
          <w:sz w:val="24"/>
          <w:szCs w:val="24"/>
        </w:rPr>
        <w:t>Respectfully submitted</w:t>
      </w:r>
      <w:r w:rsidR="00191968" w:rsidRPr="006C0DC5">
        <w:rPr>
          <w:rFonts w:ascii="Georgia" w:hAnsi="Georgia" w:cs="Garamond"/>
          <w:sz w:val="24"/>
          <w:szCs w:val="24"/>
        </w:rPr>
        <w:t>,</w:t>
      </w:r>
    </w:p>
    <w:p w14:paraId="697A8C26" w14:textId="1D5F6E04" w:rsidR="00191968" w:rsidRPr="006C0DC5" w:rsidRDefault="00191968" w:rsidP="00191968">
      <w:pPr>
        <w:widowControl/>
        <w:tabs>
          <w:tab w:val="left" w:pos="5040"/>
        </w:tabs>
        <w:autoSpaceDE w:val="0"/>
        <w:autoSpaceDN w:val="0"/>
        <w:adjustRightInd w:val="0"/>
        <w:rPr>
          <w:rFonts w:ascii="Georgia" w:hAnsi="Georgia" w:cs="Garamond"/>
          <w:sz w:val="24"/>
          <w:szCs w:val="24"/>
        </w:rPr>
      </w:pPr>
    </w:p>
    <w:p w14:paraId="710C4B9E" w14:textId="31F636AB" w:rsidR="00191968" w:rsidRPr="006C0DC5" w:rsidRDefault="001D46B8" w:rsidP="00191968">
      <w:pPr>
        <w:widowControl/>
        <w:tabs>
          <w:tab w:val="left" w:pos="5040"/>
        </w:tabs>
        <w:autoSpaceDE w:val="0"/>
        <w:autoSpaceDN w:val="0"/>
        <w:adjustRightInd w:val="0"/>
        <w:rPr>
          <w:rFonts w:ascii="Georgia" w:hAnsi="Georgia" w:cs="Garamond"/>
          <w:i/>
          <w:iCs/>
          <w:sz w:val="24"/>
          <w:szCs w:val="24"/>
        </w:rPr>
      </w:pPr>
      <w:r w:rsidRPr="006C0DC5">
        <w:rPr>
          <w:rFonts w:ascii="Georgia" w:hAnsi="Georgia" w:cs="Garamond"/>
          <w:sz w:val="24"/>
          <w:szCs w:val="24"/>
        </w:rPr>
        <w:tab/>
      </w:r>
      <w:r w:rsidR="008F2D8E" w:rsidRPr="006C0DC5">
        <w:rPr>
          <w:rFonts w:ascii="Georgia" w:hAnsi="Georgia" w:cs="Garamond"/>
          <w:i/>
          <w:iCs/>
          <w:sz w:val="24"/>
          <w:szCs w:val="24"/>
        </w:rPr>
        <w:t>/s/</w:t>
      </w:r>
      <w:r w:rsidRPr="006C0DC5">
        <w:rPr>
          <w:rFonts w:ascii="Georgia" w:hAnsi="Georgia" w:cs="Garamond"/>
          <w:i/>
          <w:iCs/>
          <w:sz w:val="24"/>
          <w:szCs w:val="24"/>
        </w:rPr>
        <w:t>Susan Chamberlin</w:t>
      </w:r>
    </w:p>
    <w:p w14:paraId="7E6EE98F" w14:textId="77777777" w:rsidR="001D46B8" w:rsidRPr="006C0DC5" w:rsidRDefault="007776FD" w:rsidP="00191968">
      <w:pPr>
        <w:widowControl/>
        <w:tabs>
          <w:tab w:val="left" w:pos="5040"/>
        </w:tabs>
        <w:autoSpaceDE w:val="0"/>
        <w:autoSpaceDN w:val="0"/>
        <w:adjustRightInd w:val="0"/>
        <w:rPr>
          <w:rFonts w:ascii="Georgia" w:hAnsi="Georgia" w:cs="Garamond"/>
          <w:sz w:val="24"/>
          <w:szCs w:val="24"/>
        </w:rPr>
      </w:pPr>
      <w:r w:rsidRPr="006C0DC5">
        <w:rPr>
          <w:rFonts w:ascii="Georgia" w:hAnsi="Georgia" w:cs="Garamond"/>
          <w:sz w:val="24"/>
          <w:szCs w:val="24"/>
        </w:rPr>
        <w:tab/>
      </w:r>
    </w:p>
    <w:p w14:paraId="3358CB35" w14:textId="00031CD2" w:rsidR="00191968" w:rsidRPr="006C0DC5" w:rsidRDefault="001D46B8" w:rsidP="00191968">
      <w:pPr>
        <w:widowControl/>
        <w:tabs>
          <w:tab w:val="left" w:pos="5040"/>
        </w:tabs>
        <w:autoSpaceDE w:val="0"/>
        <w:autoSpaceDN w:val="0"/>
        <w:adjustRightInd w:val="0"/>
        <w:rPr>
          <w:rFonts w:ascii="Georgia" w:hAnsi="Georgia" w:cs="Garamond"/>
          <w:sz w:val="24"/>
          <w:szCs w:val="24"/>
        </w:rPr>
      </w:pPr>
      <w:r w:rsidRPr="006C0DC5">
        <w:rPr>
          <w:rFonts w:ascii="Georgia" w:hAnsi="Georgia" w:cs="Garamond"/>
          <w:sz w:val="24"/>
          <w:szCs w:val="24"/>
        </w:rPr>
        <w:tab/>
      </w:r>
      <w:bookmarkStart w:id="6" w:name="_Hlk195863106"/>
      <w:r w:rsidR="000C29D9" w:rsidRPr="006C0DC5">
        <w:rPr>
          <w:rFonts w:ascii="Georgia" w:hAnsi="Georgia" w:cs="Garamond"/>
          <w:sz w:val="24"/>
          <w:szCs w:val="24"/>
        </w:rPr>
        <w:t>Susan Chamberlin,</w:t>
      </w:r>
      <w:bookmarkEnd w:id="6"/>
    </w:p>
    <w:p w14:paraId="349DD30A" w14:textId="3D489D9D" w:rsidR="000C29D9" w:rsidRPr="006C0DC5" w:rsidRDefault="007776FD" w:rsidP="00191968">
      <w:pPr>
        <w:widowControl/>
        <w:tabs>
          <w:tab w:val="left" w:pos="5040"/>
        </w:tabs>
        <w:autoSpaceDE w:val="0"/>
        <w:autoSpaceDN w:val="0"/>
        <w:adjustRightInd w:val="0"/>
        <w:rPr>
          <w:rFonts w:ascii="Georgia" w:hAnsi="Georgia" w:cs="Garamond"/>
          <w:sz w:val="24"/>
          <w:szCs w:val="24"/>
        </w:rPr>
      </w:pPr>
      <w:r w:rsidRPr="006C0DC5">
        <w:rPr>
          <w:rFonts w:ascii="Georgia" w:hAnsi="Georgia" w:cs="Garamond"/>
          <w:sz w:val="24"/>
          <w:szCs w:val="24"/>
        </w:rPr>
        <w:tab/>
      </w:r>
      <w:r w:rsidR="000C29D9" w:rsidRPr="006C0DC5">
        <w:rPr>
          <w:rFonts w:ascii="Georgia" w:hAnsi="Georgia" w:cs="Garamond"/>
          <w:sz w:val="24"/>
          <w:szCs w:val="24"/>
        </w:rPr>
        <w:t>Senior Counsel</w:t>
      </w:r>
      <w:r w:rsidRPr="006C0DC5">
        <w:rPr>
          <w:rFonts w:ascii="Georgia" w:hAnsi="Georgia" w:cs="Garamond"/>
          <w:sz w:val="24"/>
          <w:szCs w:val="24"/>
        </w:rPr>
        <w:t xml:space="preserve">, </w:t>
      </w:r>
      <w:r w:rsidR="000C29D9" w:rsidRPr="006C0DC5">
        <w:rPr>
          <w:rFonts w:ascii="Georgia" w:hAnsi="Georgia" w:cs="Garamond"/>
          <w:sz w:val="24"/>
          <w:szCs w:val="24"/>
        </w:rPr>
        <w:t>Climate Policy Advisor</w:t>
      </w:r>
    </w:p>
    <w:p w14:paraId="3E5D35FF" w14:textId="5248DBE4" w:rsidR="00191968" w:rsidRPr="006C0DC5" w:rsidRDefault="00191968" w:rsidP="00191968">
      <w:pPr>
        <w:widowControl/>
        <w:tabs>
          <w:tab w:val="left" w:pos="5040"/>
        </w:tabs>
        <w:autoSpaceDE w:val="0"/>
        <w:autoSpaceDN w:val="0"/>
        <w:adjustRightInd w:val="0"/>
        <w:rPr>
          <w:rFonts w:ascii="Georgia" w:hAnsi="Georgia" w:cs="Garamond"/>
          <w:sz w:val="24"/>
          <w:szCs w:val="24"/>
        </w:rPr>
      </w:pPr>
      <w:r w:rsidRPr="006C0DC5">
        <w:rPr>
          <w:rFonts w:ascii="Georgia" w:hAnsi="Georgia" w:cs="Garamond"/>
          <w:sz w:val="24"/>
          <w:szCs w:val="24"/>
        </w:rPr>
        <w:tab/>
      </w:r>
      <w:r w:rsidR="002D4DD2" w:rsidRPr="006C0DC5">
        <w:rPr>
          <w:rFonts w:ascii="Georgia" w:hAnsi="Georgia" w:cs="Garamond"/>
          <w:sz w:val="24"/>
          <w:szCs w:val="24"/>
        </w:rPr>
        <w:t>Office of the</w:t>
      </w:r>
      <w:r w:rsidR="007776FD" w:rsidRPr="006C0DC5">
        <w:rPr>
          <w:rFonts w:ascii="Georgia" w:hAnsi="Georgia" w:cs="Garamond"/>
          <w:sz w:val="24"/>
          <w:szCs w:val="24"/>
        </w:rPr>
        <w:t xml:space="preserve"> </w:t>
      </w:r>
      <w:r w:rsidRPr="006C0DC5">
        <w:rPr>
          <w:rFonts w:ascii="Georgia" w:hAnsi="Georgia" w:cs="Garamond"/>
          <w:sz w:val="24"/>
          <w:szCs w:val="24"/>
        </w:rPr>
        <w:t>Public Advocate</w:t>
      </w:r>
    </w:p>
    <w:sectPr w:rsidR="00191968" w:rsidRPr="006C0DC5" w:rsidSect="00C519C5">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0A7C6" w14:textId="77777777" w:rsidR="00055E60" w:rsidRDefault="00055E60" w:rsidP="00E22664">
      <w:r>
        <w:separator/>
      </w:r>
    </w:p>
  </w:endnote>
  <w:endnote w:type="continuationSeparator" w:id="0">
    <w:p w14:paraId="2E9928AA" w14:textId="77777777" w:rsidR="00055E60" w:rsidRDefault="00055E60" w:rsidP="00E22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410908"/>
      <w:docPartObj>
        <w:docPartGallery w:val="Page Numbers (Bottom of Page)"/>
        <w:docPartUnique/>
      </w:docPartObj>
    </w:sdtPr>
    <w:sdtEndPr>
      <w:rPr>
        <w:noProof/>
      </w:rPr>
    </w:sdtEndPr>
    <w:sdtContent>
      <w:p w14:paraId="1F4EEED4" w14:textId="418BD181" w:rsidR="007F7D8E" w:rsidRDefault="007F7D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DE2C59" w14:textId="77777777" w:rsidR="00E22664" w:rsidRDefault="00E22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D303A" w14:textId="77777777" w:rsidR="00055E60" w:rsidRDefault="00055E60" w:rsidP="00E22664">
      <w:r>
        <w:separator/>
      </w:r>
    </w:p>
  </w:footnote>
  <w:footnote w:type="continuationSeparator" w:id="0">
    <w:p w14:paraId="50905138" w14:textId="77777777" w:rsidR="00055E60" w:rsidRDefault="00055E60" w:rsidP="00E22664">
      <w:r>
        <w:continuationSeparator/>
      </w:r>
    </w:p>
  </w:footnote>
  <w:footnote w:id="1">
    <w:p w14:paraId="7340AE07" w14:textId="77777777" w:rsidR="00D60CAE" w:rsidRDefault="00175239">
      <w:pPr>
        <w:pStyle w:val="FootnoteText"/>
        <w:rPr>
          <w:rFonts w:ascii="Georgia" w:hAnsi="Georgia"/>
        </w:rPr>
      </w:pPr>
      <w:r>
        <w:rPr>
          <w:rStyle w:val="FootnoteReference"/>
        </w:rPr>
        <w:footnoteRef/>
      </w:r>
      <w:r>
        <w:t xml:space="preserve"> </w:t>
      </w:r>
      <w:bookmarkStart w:id="2" w:name="_Hlk206581213"/>
      <w:r w:rsidR="00131EA3" w:rsidRPr="00D60CAE">
        <w:rPr>
          <w:rFonts w:ascii="Georgia" w:hAnsi="Georgia"/>
        </w:rPr>
        <w:t>Presented</w:t>
      </w:r>
      <w:r w:rsidR="00FD524E" w:rsidRPr="00D60CAE">
        <w:rPr>
          <w:rFonts w:ascii="Georgia" w:hAnsi="Georgia"/>
        </w:rPr>
        <w:t xml:space="preserve"> to the NECPUC Retail Demand Response &amp; Load Flexibility Working Group, </w:t>
      </w:r>
      <w:bookmarkStart w:id="3" w:name="_Hlk205197014"/>
      <w:r w:rsidR="00FD524E" w:rsidRPr="00D60CAE">
        <w:rPr>
          <w:rFonts w:ascii="Georgia" w:hAnsi="Georgia"/>
        </w:rPr>
        <w:t xml:space="preserve">Lawrence </w:t>
      </w:r>
    </w:p>
    <w:p w14:paraId="45B8FD80" w14:textId="7FF0E75B" w:rsidR="00175239" w:rsidRPr="00D60CAE" w:rsidRDefault="00D60CAE">
      <w:pPr>
        <w:pStyle w:val="FootnoteText"/>
        <w:rPr>
          <w:rFonts w:ascii="Georgia" w:hAnsi="Georgia"/>
        </w:rPr>
      </w:pPr>
      <w:r>
        <w:rPr>
          <w:rFonts w:ascii="Georgia" w:hAnsi="Georgia"/>
        </w:rPr>
        <w:t xml:space="preserve">  </w:t>
      </w:r>
      <w:r w:rsidR="00FD524E" w:rsidRPr="00D60CAE">
        <w:rPr>
          <w:rFonts w:ascii="Georgia" w:hAnsi="Georgia"/>
        </w:rPr>
        <w:t xml:space="preserve">Berkeley National Laboratory, August </w:t>
      </w:r>
      <w:r w:rsidR="00131EA3" w:rsidRPr="00D60CAE">
        <w:rPr>
          <w:rFonts w:ascii="Georgia" w:hAnsi="Georgia"/>
        </w:rPr>
        <w:t xml:space="preserve">1, </w:t>
      </w:r>
      <w:r w:rsidR="00FD524E" w:rsidRPr="00D60CAE">
        <w:rPr>
          <w:rFonts w:ascii="Georgia" w:hAnsi="Georgia"/>
        </w:rPr>
        <w:t>2025.</w:t>
      </w:r>
      <w:bookmarkEnd w:id="3"/>
      <w:r w:rsidR="00E045E9" w:rsidRPr="00D60CAE">
        <w:rPr>
          <w:rFonts w:ascii="Georgia" w:hAnsi="Georgia"/>
          <w:sz w:val="22"/>
          <w:szCs w:val="22"/>
        </w:rPr>
        <w:t xml:space="preserve"> </w:t>
      </w:r>
      <w:hyperlink r:id="rId1" w:history="1">
        <w:r w:rsidR="00E045E9" w:rsidRPr="00D60CAE">
          <w:rPr>
            <w:rStyle w:val="Hyperlink"/>
            <w:rFonts w:ascii="Georgia" w:hAnsi="Georgia"/>
          </w:rPr>
          <w:t>Winter demand response final report</w:t>
        </w:r>
      </w:hyperlink>
      <w:r w:rsidR="00E045E9" w:rsidRPr="00D60CAE">
        <w:rPr>
          <w:rFonts w:ascii="Georgia" w:hAnsi="Georgia"/>
        </w:rPr>
        <w:t>. </w:t>
      </w:r>
      <w:bookmarkEnd w:id="2"/>
    </w:p>
  </w:footnote>
  <w:footnote w:id="2">
    <w:p w14:paraId="3E0AF856" w14:textId="1FDD0C95" w:rsidR="00CB04A9" w:rsidRPr="00D60CAE" w:rsidRDefault="00CB04A9">
      <w:pPr>
        <w:pStyle w:val="FootnoteText"/>
        <w:rPr>
          <w:rFonts w:ascii="Georgia" w:hAnsi="Georgia"/>
        </w:rPr>
      </w:pPr>
      <w:r w:rsidRPr="00D60CAE">
        <w:rPr>
          <w:rStyle w:val="FootnoteReference"/>
          <w:rFonts w:ascii="Georgia" w:hAnsi="Georgia"/>
        </w:rPr>
        <w:footnoteRef/>
      </w:r>
      <w:r w:rsidRPr="00D60CAE">
        <w:rPr>
          <w:rFonts w:ascii="Georgia" w:hAnsi="Georgia"/>
        </w:rPr>
        <w:t xml:space="preserve"> Report at 5.</w:t>
      </w:r>
    </w:p>
  </w:footnote>
  <w:footnote w:id="3">
    <w:p w14:paraId="2E409C1E" w14:textId="358B7C25" w:rsidR="0021224B" w:rsidRPr="00D60CAE" w:rsidRDefault="0021224B" w:rsidP="0021224B">
      <w:pPr>
        <w:pStyle w:val="FootnoteText"/>
        <w:rPr>
          <w:rFonts w:ascii="Georgia" w:hAnsi="Georgia"/>
        </w:rPr>
      </w:pPr>
      <w:r w:rsidRPr="00D60CAE">
        <w:rPr>
          <w:rStyle w:val="FootnoteReference"/>
          <w:rFonts w:ascii="Georgia" w:hAnsi="Georgia"/>
        </w:rPr>
        <w:footnoteRef/>
      </w:r>
      <w:r w:rsidRPr="00D60CAE">
        <w:rPr>
          <w:rFonts w:ascii="Georgia" w:hAnsi="Georgia"/>
        </w:rPr>
        <w:t xml:space="preserve"> International Association of Certified Home Inspectors. </w:t>
      </w:r>
      <w:hyperlink r:id="rId2" w:history="1">
        <w:r w:rsidRPr="00D60CAE">
          <w:rPr>
            <w:rStyle w:val="Hyperlink"/>
            <w:rFonts w:ascii="Georgia" w:hAnsi="Georgia"/>
          </w:rPr>
          <w:t>https://www.nachi.org/defrost-cycle-heat-pump.htm</w:t>
        </w:r>
      </w:hyperlink>
    </w:p>
  </w:footnote>
  <w:footnote w:id="4">
    <w:p w14:paraId="7FB1EE08" w14:textId="77777777" w:rsidR="0021224B" w:rsidRPr="00311183" w:rsidRDefault="0021224B" w:rsidP="0021224B">
      <w:pPr>
        <w:pStyle w:val="FootnoteText"/>
        <w:rPr>
          <w:rFonts w:ascii="Georgia" w:hAnsi="Georgia"/>
        </w:rPr>
      </w:pPr>
      <w:r w:rsidRPr="00D60CAE">
        <w:rPr>
          <w:rStyle w:val="FootnoteReference"/>
          <w:rFonts w:ascii="Georgia" w:hAnsi="Georgia"/>
        </w:rPr>
        <w:footnoteRef/>
      </w:r>
      <w:r w:rsidRPr="00D60CAE">
        <w:rPr>
          <w:rFonts w:ascii="Georgia" w:hAnsi="Georgia"/>
        </w:rPr>
        <w:t xml:space="preserve"> </w:t>
      </w:r>
      <w:r w:rsidRPr="00D60CAE">
        <w:rPr>
          <w:rFonts w:ascii="Georgia" w:hAnsi="Georgia"/>
          <w:i/>
          <w:iCs/>
        </w:rPr>
        <w:t>Id.</w:t>
      </w:r>
      <w:r w:rsidRPr="00311183">
        <w:rPr>
          <w:rFonts w:ascii="Georgia" w:hAnsi="Georgia"/>
        </w:rPr>
        <w:t xml:space="preserve"> </w:t>
      </w:r>
    </w:p>
  </w:footnote>
  <w:footnote w:id="5">
    <w:p w14:paraId="4F16DD32" w14:textId="7B6B5F22" w:rsidR="00564AE1" w:rsidRPr="0039652B" w:rsidRDefault="00564AE1" w:rsidP="00564AE1">
      <w:pPr>
        <w:pStyle w:val="FootnoteText"/>
        <w:rPr>
          <w:rFonts w:ascii="Georgia" w:hAnsi="Georgia"/>
        </w:rPr>
      </w:pPr>
      <w:r w:rsidRPr="00311183">
        <w:rPr>
          <w:rStyle w:val="FootnoteReference"/>
          <w:rFonts w:ascii="Georgia" w:hAnsi="Georgia"/>
        </w:rPr>
        <w:footnoteRef/>
      </w:r>
      <w:r w:rsidRPr="00311183">
        <w:rPr>
          <w:rFonts w:ascii="Georgia" w:hAnsi="Georgia"/>
        </w:rPr>
        <w:t xml:space="preserve"> </w:t>
      </w:r>
      <w:hyperlink r:id="rId3" w:history="1">
        <w:r w:rsidRPr="0039652B">
          <w:rPr>
            <w:rStyle w:val="Hyperlink"/>
            <w:rFonts w:ascii="Georgia" w:hAnsi="Georgia"/>
          </w:rPr>
          <w:t>https://www.efficiencymaine.com/heat-pump-user-</w:t>
        </w:r>
      </w:hyperlink>
      <w:r w:rsidR="008935E6" w:rsidRPr="0039652B">
        <w:rPr>
          <w:rFonts w:ascii="Georgia" w:hAnsi="Georgia"/>
        </w:rPr>
        <w:t xml:space="preserve"> </w:t>
      </w:r>
    </w:p>
  </w:footnote>
  <w:footnote w:id="6">
    <w:p w14:paraId="53ABD463" w14:textId="23FCD60A" w:rsidR="00564AE1" w:rsidRPr="0039652B" w:rsidRDefault="00564AE1" w:rsidP="00564AE1">
      <w:pPr>
        <w:pStyle w:val="FootnoteText"/>
        <w:rPr>
          <w:rFonts w:ascii="Georgia" w:hAnsi="Georgia"/>
        </w:rPr>
      </w:pPr>
      <w:r w:rsidRPr="0039652B">
        <w:rPr>
          <w:rStyle w:val="FootnoteReference"/>
          <w:rFonts w:ascii="Georgia" w:hAnsi="Georgia"/>
        </w:rPr>
        <w:footnoteRef/>
      </w:r>
      <w:r w:rsidRPr="0039652B">
        <w:rPr>
          <w:rFonts w:ascii="Georgia" w:hAnsi="Georgia"/>
        </w:rPr>
        <w:t xml:space="preserve"> </w:t>
      </w:r>
      <w:hyperlink r:id="rId4" w:history="1">
        <w:r w:rsidRPr="0039652B">
          <w:rPr>
            <w:rStyle w:val="Hyperlink"/>
            <w:rFonts w:ascii="Georgia" w:hAnsi="Georgia"/>
          </w:rPr>
          <w:t>Heat Pumps Residential: Best Practices for Your New Heat Pump [PDF]</w:t>
        </w:r>
      </w:hyperlink>
    </w:p>
  </w:footnote>
  <w:footnote w:id="7">
    <w:p w14:paraId="7B63DAAC" w14:textId="77777777" w:rsidR="0039652B" w:rsidRDefault="004C4C7F" w:rsidP="004C4C7F">
      <w:pPr>
        <w:pStyle w:val="FootnoteText"/>
        <w:rPr>
          <w:rFonts w:ascii="Georgia" w:hAnsi="Georgia"/>
        </w:rPr>
      </w:pPr>
      <w:r w:rsidRPr="0039652B">
        <w:rPr>
          <w:rStyle w:val="FootnoteReference"/>
          <w:rFonts w:ascii="Georgia" w:hAnsi="Georgia"/>
        </w:rPr>
        <w:footnoteRef/>
      </w:r>
      <w:r w:rsidRPr="0039652B">
        <w:rPr>
          <w:rFonts w:ascii="Georgia" w:hAnsi="Georgia"/>
        </w:rPr>
        <w:t xml:space="preserve"> See Report at 7. (“For example, Georgia Power’s TEMPCheck shifts space heating load, and </w:t>
      </w:r>
      <w:r w:rsidR="0039652B" w:rsidRPr="0039652B">
        <w:rPr>
          <w:rFonts w:ascii="Georgia" w:hAnsi="Georgia"/>
        </w:rPr>
        <w:t xml:space="preserve">Alliant </w:t>
      </w:r>
    </w:p>
    <w:p w14:paraId="11D34CED" w14:textId="77777777" w:rsidR="0039652B" w:rsidRDefault="0039652B" w:rsidP="004C4C7F">
      <w:pPr>
        <w:pStyle w:val="FootnoteText"/>
        <w:rPr>
          <w:rFonts w:ascii="Georgia" w:hAnsi="Georgia"/>
        </w:rPr>
      </w:pPr>
      <w:r>
        <w:rPr>
          <w:rFonts w:ascii="Georgia" w:hAnsi="Georgia"/>
        </w:rPr>
        <w:t xml:space="preserve">  Energy’s</w:t>
      </w:r>
      <w:r w:rsidR="004C4C7F" w:rsidRPr="0039652B">
        <w:rPr>
          <w:rFonts w:ascii="Georgia" w:hAnsi="Georgia"/>
        </w:rPr>
        <w:t xml:space="preserve"> Smart Hours program shifts space and water heating and EV charging load outside of 6am–</w:t>
      </w:r>
    </w:p>
    <w:p w14:paraId="5900FB79" w14:textId="77777777" w:rsidR="0039652B" w:rsidRDefault="0039652B" w:rsidP="004C4C7F">
      <w:pPr>
        <w:pStyle w:val="FootnoteText"/>
        <w:rPr>
          <w:rFonts w:ascii="Georgia" w:hAnsi="Georgia"/>
        </w:rPr>
      </w:pPr>
      <w:r>
        <w:rPr>
          <w:rFonts w:ascii="Georgia" w:hAnsi="Georgia"/>
        </w:rPr>
        <w:t xml:space="preserve">  </w:t>
      </w:r>
      <w:r w:rsidR="004C4C7F" w:rsidRPr="0039652B">
        <w:rPr>
          <w:rFonts w:ascii="Georgia" w:hAnsi="Georgia"/>
        </w:rPr>
        <w:t xml:space="preserve">10am during events.”) Aliant Energy’s Smart Hours program is an opt in, device focused, critical peak </w:t>
      </w:r>
    </w:p>
    <w:p w14:paraId="020D4375" w14:textId="1C876F9C" w:rsidR="004C4C7F" w:rsidRPr="0039652B" w:rsidRDefault="0039652B" w:rsidP="004C4C7F">
      <w:pPr>
        <w:pStyle w:val="FootnoteText"/>
        <w:rPr>
          <w:rFonts w:ascii="Georgia" w:hAnsi="Georgia"/>
        </w:rPr>
      </w:pPr>
      <w:r>
        <w:rPr>
          <w:rFonts w:ascii="Georgia" w:hAnsi="Georgia"/>
        </w:rPr>
        <w:t xml:space="preserve">  </w:t>
      </w:r>
      <w:r w:rsidR="004C4C7F" w:rsidRPr="0039652B">
        <w:rPr>
          <w:rFonts w:ascii="Georgia" w:hAnsi="Georgia"/>
        </w:rPr>
        <w:t xml:space="preserve">pricing program in Wisconsin. </w:t>
      </w:r>
      <w:hyperlink r:id="rId5" w:history="1">
        <w:r w:rsidR="00175239" w:rsidRPr="005A684E">
          <w:rPr>
            <w:rStyle w:val="Hyperlink"/>
            <w:rFonts w:ascii="Georgia" w:hAnsi="Georgia"/>
          </w:rPr>
          <w:t>https://alliant-faqs.tendrilinc.com/faqs/what-is-alliant-energy-r-smart-   hours</w:t>
        </w:r>
      </w:hyperlink>
    </w:p>
  </w:footnote>
  <w:footnote w:id="8">
    <w:p w14:paraId="07E160CE" w14:textId="77777777" w:rsidR="00CA168F" w:rsidRPr="0039652B" w:rsidRDefault="00CA168F" w:rsidP="00CA168F">
      <w:pPr>
        <w:pStyle w:val="FootnoteText"/>
        <w:rPr>
          <w:rFonts w:ascii="Georgia" w:hAnsi="Georgia"/>
        </w:rPr>
      </w:pPr>
      <w:r w:rsidRPr="0039652B">
        <w:rPr>
          <w:rStyle w:val="FootnoteReference"/>
          <w:rFonts w:ascii="Georgia" w:hAnsi="Georgia"/>
        </w:rPr>
        <w:footnoteRef/>
      </w:r>
      <w:r w:rsidRPr="0039652B">
        <w:rPr>
          <w:rFonts w:ascii="Georgia" w:hAnsi="Georgia"/>
        </w:rPr>
        <w:t xml:space="preserve"> </w:t>
      </w:r>
      <w:hyperlink r:id="rId6" w:history="1">
        <w:r w:rsidRPr="0039652B">
          <w:rPr>
            <w:rStyle w:val="Hyperlink"/>
            <w:rFonts w:ascii="Georgia" w:hAnsi="Georgia"/>
          </w:rPr>
          <w:t>https://www.maine.gov/energy/initiatives/energy-efficiency</w:t>
        </w:r>
      </w:hyperlink>
    </w:p>
  </w:footnote>
  <w:footnote w:id="9">
    <w:p w14:paraId="6C4B67E5" w14:textId="77777777" w:rsidR="00CA168F" w:rsidRPr="00311183" w:rsidRDefault="00CA168F" w:rsidP="00CA168F">
      <w:pPr>
        <w:pStyle w:val="FootnoteText"/>
        <w:rPr>
          <w:rFonts w:ascii="Georgia" w:hAnsi="Georgia"/>
        </w:rPr>
      </w:pPr>
      <w:r w:rsidRPr="0039652B">
        <w:rPr>
          <w:rStyle w:val="FootnoteReference"/>
          <w:rFonts w:ascii="Georgia" w:hAnsi="Georgia"/>
        </w:rPr>
        <w:footnoteRef/>
      </w:r>
      <w:r w:rsidRPr="0039652B">
        <w:rPr>
          <w:rFonts w:ascii="Georgia" w:hAnsi="Georgia"/>
        </w:rPr>
        <w:t xml:space="preserve"> </w:t>
      </w:r>
      <w:hyperlink r:id="rId7" w:history="1">
        <w:r w:rsidRPr="0039652B">
          <w:rPr>
            <w:rStyle w:val="Hyperlink"/>
            <w:rFonts w:ascii="Georgia" w:hAnsi="Georgia"/>
          </w:rPr>
          <w:t>https://www.maine.gov/climateplan/dashboard</w:t>
        </w:r>
      </w:hyperlink>
    </w:p>
  </w:footnote>
  <w:footnote w:id="10">
    <w:p w14:paraId="23DDAAB6" w14:textId="77777777" w:rsidR="00CA168F" w:rsidRPr="0039652B" w:rsidRDefault="00CA168F" w:rsidP="00CA168F">
      <w:pPr>
        <w:pStyle w:val="FootnoteText"/>
        <w:rPr>
          <w:rFonts w:ascii="Georgia" w:hAnsi="Georgia"/>
        </w:rPr>
      </w:pPr>
      <w:r w:rsidRPr="00311183">
        <w:rPr>
          <w:rStyle w:val="FootnoteReference"/>
          <w:rFonts w:ascii="Georgia" w:hAnsi="Georgia"/>
        </w:rPr>
        <w:footnoteRef/>
      </w:r>
      <w:r w:rsidRPr="00311183">
        <w:rPr>
          <w:rFonts w:ascii="Georgia" w:hAnsi="Georgia"/>
        </w:rPr>
        <w:t xml:space="preserve"> </w:t>
      </w:r>
      <w:hyperlink r:id="rId8" w:history="1">
        <w:r w:rsidRPr="0039652B">
          <w:rPr>
            <w:rStyle w:val="Hyperlink"/>
            <w:rFonts w:ascii="Georgia" w:hAnsi="Georgia"/>
          </w:rPr>
          <w:t>https://www.maine.gov/energy/initiatives/energy-efficiency</w:t>
        </w:r>
      </w:hyperlink>
    </w:p>
  </w:footnote>
  <w:footnote w:id="11">
    <w:p w14:paraId="09EADEF6" w14:textId="77777777" w:rsidR="00CA168F" w:rsidRPr="0039652B" w:rsidRDefault="00CA168F" w:rsidP="00CA168F">
      <w:pPr>
        <w:pStyle w:val="FootnoteText"/>
        <w:rPr>
          <w:rFonts w:ascii="Georgia" w:hAnsi="Georgia"/>
        </w:rPr>
      </w:pPr>
      <w:r w:rsidRPr="0039652B">
        <w:rPr>
          <w:rStyle w:val="FootnoteReference"/>
          <w:rFonts w:ascii="Georgia" w:hAnsi="Georgia"/>
        </w:rPr>
        <w:footnoteRef/>
      </w:r>
      <w:r w:rsidRPr="0039652B">
        <w:rPr>
          <w:rFonts w:ascii="Georgia" w:hAnsi="Georgia"/>
        </w:rPr>
        <w:t xml:space="preserve"> </w:t>
      </w:r>
      <w:r w:rsidRPr="0039652B">
        <w:rPr>
          <w:rFonts w:ascii="Georgia" w:hAnsi="Georgia"/>
          <w:i/>
          <w:iCs/>
        </w:rPr>
        <w:t>Id.</w:t>
      </w:r>
      <w:r w:rsidRPr="0039652B">
        <w:rPr>
          <w:rFonts w:ascii="Georgia" w:hAnsi="Georgia"/>
        </w:rPr>
        <w:t xml:space="preserve"> </w:t>
      </w:r>
    </w:p>
  </w:footnote>
  <w:footnote w:id="12">
    <w:p w14:paraId="788B4FB0" w14:textId="676DD87E" w:rsidR="002B08CB" w:rsidRPr="00BB1C81" w:rsidRDefault="002B08CB">
      <w:pPr>
        <w:pStyle w:val="FootnoteText"/>
        <w:rPr>
          <w:rFonts w:ascii="Georgia" w:hAnsi="Georgia"/>
        </w:rPr>
      </w:pPr>
      <w:r w:rsidRPr="00BB1C81">
        <w:rPr>
          <w:rStyle w:val="FootnoteReference"/>
          <w:rFonts w:ascii="Georgia" w:hAnsi="Georgia"/>
        </w:rPr>
        <w:footnoteRef/>
      </w:r>
      <w:r w:rsidRPr="00BB1C81">
        <w:rPr>
          <w:rFonts w:ascii="Georgia" w:hAnsi="Georgia"/>
        </w:rPr>
        <w:t xml:space="preserve"> Report at 7.</w:t>
      </w:r>
    </w:p>
  </w:footnote>
  <w:footnote w:id="13">
    <w:p w14:paraId="7685F06A" w14:textId="20E01702" w:rsidR="00AA5375" w:rsidRPr="00622E5A" w:rsidRDefault="00AA5375">
      <w:pPr>
        <w:pStyle w:val="FootnoteText"/>
        <w:rPr>
          <w:rFonts w:ascii="Georgia" w:hAnsi="Georgia"/>
        </w:rPr>
      </w:pPr>
      <w:r w:rsidRPr="00BB1C81">
        <w:rPr>
          <w:rStyle w:val="FootnoteReference"/>
          <w:rFonts w:ascii="Georgia" w:hAnsi="Georgia"/>
        </w:rPr>
        <w:footnoteRef/>
      </w:r>
      <w:r w:rsidRPr="00BB1C81">
        <w:rPr>
          <w:rFonts w:ascii="Georgia" w:hAnsi="Georgia"/>
        </w:rPr>
        <w:t xml:space="preserve"> </w:t>
      </w:r>
      <w:r w:rsidR="004C4E35" w:rsidRPr="00BB1C81">
        <w:rPr>
          <w:rFonts w:ascii="Georgia" w:hAnsi="Georgia"/>
        </w:rPr>
        <w:t>Hledik, Ryan</w:t>
      </w:r>
      <w:r w:rsidR="00B75D50" w:rsidRPr="00BB1C81">
        <w:rPr>
          <w:rFonts w:ascii="Georgia" w:hAnsi="Georgia"/>
        </w:rPr>
        <w:t xml:space="preserve"> et al. </w:t>
      </w:r>
      <w:r w:rsidR="004C4E35" w:rsidRPr="00BB1C81">
        <w:rPr>
          <w:rFonts w:ascii="Georgia" w:hAnsi="Georgia"/>
        </w:rPr>
        <w:t xml:space="preserve"> </w:t>
      </w:r>
      <w:r w:rsidR="004C4E35" w:rsidRPr="00BB1C81">
        <w:rPr>
          <w:rFonts w:ascii="Georgia" w:hAnsi="Georgia"/>
          <w:i/>
          <w:iCs/>
        </w:rPr>
        <w:t xml:space="preserve">New York’s Grid Flexibility Potential </w:t>
      </w:r>
      <w:r w:rsidR="00B75D50" w:rsidRPr="00BB1C81">
        <w:rPr>
          <w:rFonts w:ascii="Georgia" w:hAnsi="Georgia"/>
          <w:i/>
          <w:iCs/>
        </w:rPr>
        <w:t>Volume I: Summary Report</w:t>
      </w:r>
      <w:r w:rsidR="00B75D50" w:rsidRPr="00BB1C81">
        <w:rPr>
          <w:rFonts w:ascii="Georgia" w:hAnsi="Georgia"/>
        </w:rPr>
        <w:t>, Brattle Group</w:t>
      </w:r>
      <w:r w:rsidR="001C5511" w:rsidRPr="00BB1C81">
        <w:rPr>
          <w:rFonts w:ascii="Georgia" w:hAnsi="Georgia"/>
        </w:rPr>
        <w:t xml:space="preserve">, </w:t>
      </w:r>
      <w:r w:rsidR="00B75D50" w:rsidRPr="00622E5A">
        <w:rPr>
          <w:rFonts w:ascii="Georgia" w:hAnsi="Georgia"/>
        </w:rPr>
        <w:t xml:space="preserve">Prepared For </w:t>
      </w:r>
      <w:r w:rsidR="00FC6DAC" w:rsidRPr="00622E5A">
        <w:rPr>
          <w:rFonts w:ascii="Georgia" w:hAnsi="Georgia"/>
        </w:rPr>
        <w:t xml:space="preserve">NYSERDA NY </w:t>
      </w:r>
      <w:r w:rsidR="00B75D50" w:rsidRPr="00622E5A">
        <w:rPr>
          <w:rFonts w:ascii="Georgia" w:hAnsi="Georgia"/>
        </w:rPr>
        <w:t xml:space="preserve">Dept. Of Public Service, </w:t>
      </w:r>
      <w:r w:rsidR="00FC6DAC" w:rsidRPr="00622E5A">
        <w:rPr>
          <w:rFonts w:ascii="Georgia" w:hAnsi="Georgia"/>
        </w:rPr>
        <w:t>(January 2025)</w:t>
      </w:r>
      <w:r w:rsidR="001C5511" w:rsidRPr="00622E5A">
        <w:rPr>
          <w:rFonts w:ascii="Georgia" w:hAnsi="Georgia"/>
        </w:rPr>
        <w:t xml:space="preserve"> </w:t>
      </w:r>
      <w:r w:rsidR="00FC6DAC" w:rsidRPr="00622E5A">
        <w:rPr>
          <w:rFonts w:ascii="Georgia" w:hAnsi="Georgia"/>
        </w:rPr>
        <w:t>a</w:t>
      </w:r>
      <w:r w:rsidR="00B75D50" w:rsidRPr="00622E5A">
        <w:rPr>
          <w:rFonts w:ascii="Georgia" w:hAnsi="Georgia"/>
        </w:rPr>
        <w:t>t 52.</w:t>
      </w:r>
    </w:p>
  </w:footnote>
  <w:footnote w:id="14">
    <w:p w14:paraId="03215F7E" w14:textId="3B61FDBB" w:rsidR="00CF68C3" w:rsidRDefault="00CF68C3">
      <w:pPr>
        <w:pStyle w:val="FootnoteText"/>
      </w:pPr>
      <w:r w:rsidRPr="00622E5A">
        <w:rPr>
          <w:rStyle w:val="FootnoteReference"/>
          <w:rFonts w:ascii="Georgia" w:hAnsi="Georgia"/>
        </w:rPr>
        <w:footnoteRef/>
      </w:r>
      <w:r w:rsidRPr="00622E5A">
        <w:rPr>
          <w:rFonts w:ascii="Georgia" w:hAnsi="Georgia"/>
        </w:rPr>
        <w:t xml:space="preserve"> </w:t>
      </w:r>
      <w:r w:rsidR="00594730" w:rsidRPr="00622E5A">
        <w:rPr>
          <w:rFonts w:ascii="Georgia" w:hAnsi="Georgia"/>
        </w:rPr>
        <w:t>Hledik</w:t>
      </w:r>
      <w:r w:rsidR="00D361EC" w:rsidRPr="00622E5A">
        <w:rPr>
          <w:rFonts w:ascii="Georgia" w:hAnsi="Georgia"/>
        </w:rPr>
        <w:t xml:space="preserve">, Ryan et al, </w:t>
      </w:r>
      <w:r w:rsidR="00594730" w:rsidRPr="00622E5A">
        <w:rPr>
          <w:rFonts w:ascii="Georgia" w:hAnsi="Georgia"/>
          <w:i/>
          <w:iCs/>
        </w:rPr>
        <w:t xml:space="preserve">The National Potential for Load Flexibility </w:t>
      </w:r>
      <w:r w:rsidR="00F30714" w:rsidRPr="00622E5A">
        <w:rPr>
          <w:rFonts w:ascii="Georgia" w:hAnsi="Georgia"/>
          <w:i/>
          <w:iCs/>
        </w:rPr>
        <w:t xml:space="preserve">Value And Market Potential Through </w:t>
      </w:r>
      <w:r w:rsidR="00D35377" w:rsidRPr="00622E5A">
        <w:rPr>
          <w:rFonts w:ascii="Georgia" w:hAnsi="Georgia"/>
          <w:i/>
          <w:iCs/>
        </w:rPr>
        <w:t>2030</w:t>
      </w:r>
      <w:r w:rsidR="00D35377" w:rsidRPr="00622E5A">
        <w:rPr>
          <w:rFonts w:ascii="Georgia" w:hAnsi="Georgia"/>
        </w:rPr>
        <w:t>,</w:t>
      </w:r>
      <w:r w:rsidR="00594730" w:rsidRPr="00622E5A">
        <w:rPr>
          <w:rFonts w:ascii="Georgia" w:hAnsi="Georgia"/>
        </w:rPr>
        <w:t xml:space="preserve"> Brattle Group</w:t>
      </w:r>
      <w:r w:rsidR="00F53F5F" w:rsidRPr="00622E5A">
        <w:rPr>
          <w:rFonts w:ascii="Georgia" w:hAnsi="Georgia"/>
        </w:rPr>
        <w:t>,</w:t>
      </w:r>
      <w:r w:rsidR="00594730" w:rsidRPr="00622E5A">
        <w:rPr>
          <w:rFonts w:ascii="Georgia" w:hAnsi="Georgia"/>
        </w:rPr>
        <w:t xml:space="preserve"> </w:t>
      </w:r>
      <w:r w:rsidR="00B02B29" w:rsidRPr="00622E5A">
        <w:rPr>
          <w:rFonts w:ascii="Georgia" w:hAnsi="Georgia"/>
        </w:rPr>
        <w:t>(</w:t>
      </w:r>
      <w:r w:rsidR="00594730" w:rsidRPr="00622E5A">
        <w:rPr>
          <w:rFonts w:ascii="Georgia" w:hAnsi="Georgia"/>
        </w:rPr>
        <w:t>June 2019</w:t>
      </w:r>
      <w:r w:rsidR="00B02B29" w:rsidRPr="00622E5A">
        <w:rPr>
          <w:rFonts w:ascii="Georgia" w:hAnsi="Georgia"/>
        </w:rPr>
        <w:t>)</w:t>
      </w:r>
      <w:r w:rsidR="00594730" w:rsidRPr="00622E5A">
        <w:rPr>
          <w:rFonts w:ascii="Georgia" w:hAnsi="Georgia"/>
        </w:rPr>
        <w:t xml:space="preserve"> </w:t>
      </w:r>
      <w:r w:rsidR="00F30714" w:rsidRPr="00622E5A">
        <w:rPr>
          <w:rFonts w:ascii="Georgia" w:hAnsi="Georgia"/>
        </w:rPr>
        <w:t>a</w:t>
      </w:r>
      <w:r w:rsidR="00594730" w:rsidRPr="00622E5A">
        <w:rPr>
          <w:rFonts w:ascii="Georgia" w:hAnsi="Georgia"/>
        </w:rPr>
        <w:t>t 8</w:t>
      </w:r>
      <w:r w:rsidR="00F30714" w:rsidRPr="00622E5A">
        <w:rPr>
          <w:rFonts w:ascii="Georgia" w:hAnsi="Georgia"/>
        </w:rPr>
        <w:t>.</w:t>
      </w:r>
    </w:p>
  </w:footnote>
  <w:footnote w:id="15">
    <w:p w14:paraId="00BA85D4" w14:textId="39AF6D52" w:rsidR="00DC7F11" w:rsidRPr="00463AE8" w:rsidRDefault="00DC7F11">
      <w:pPr>
        <w:pStyle w:val="FootnoteText"/>
        <w:rPr>
          <w:rFonts w:ascii="Georgia" w:hAnsi="Georgia"/>
        </w:rPr>
      </w:pPr>
      <w:r w:rsidRPr="0039652B">
        <w:rPr>
          <w:rStyle w:val="FootnoteReference"/>
          <w:rFonts w:ascii="Georgia" w:hAnsi="Georgia"/>
        </w:rPr>
        <w:footnoteRef/>
      </w:r>
      <w:r w:rsidRPr="0039652B">
        <w:rPr>
          <w:rFonts w:ascii="Georgia" w:hAnsi="Georgia"/>
        </w:rPr>
        <w:t xml:space="preserve"> </w:t>
      </w:r>
      <w:r w:rsidRPr="00463AE8">
        <w:rPr>
          <w:rFonts w:ascii="Georgia" w:hAnsi="Georgia"/>
        </w:rPr>
        <w:t>Report at 7.</w:t>
      </w:r>
    </w:p>
  </w:footnote>
  <w:footnote w:id="16">
    <w:p w14:paraId="4646894D" w14:textId="7F8A1BD7" w:rsidR="003E11EE" w:rsidRPr="00463AE8" w:rsidRDefault="003E11EE">
      <w:pPr>
        <w:pStyle w:val="FootnoteText"/>
        <w:rPr>
          <w:rFonts w:ascii="Georgia" w:hAnsi="Georgia"/>
        </w:rPr>
      </w:pPr>
      <w:r w:rsidRPr="00463AE8">
        <w:rPr>
          <w:rStyle w:val="FootnoteReference"/>
          <w:rFonts w:ascii="Georgia" w:hAnsi="Georgia"/>
        </w:rPr>
        <w:footnoteRef/>
      </w:r>
      <w:r w:rsidRPr="00463AE8">
        <w:rPr>
          <w:rFonts w:ascii="Georgia" w:hAnsi="Georgia"/>
        </w:rPr>
        <w:t xml:space="preserve"> </w:t>
      </w:r>
      <w:r w:rsidR="0008028C" w:rsidRPr="00463AE8">
        <w:rPr>
          <w:rFonts w:ascii="Georgia" w:hAnsi="Georgia"/>
          <w:i/>
          <w:iCs/>
        </w:rPr>
        <w:t>Maine Public Utilities Commission</w:t>
      </w:r>
      <w:r w:rsidR="0008028C" w:rsidRPr="00463AE8">
        <w:rPr>
          <w:rFonts w:ascii="Georgia" w:hAnsi="Georgia"/>
        </w:rPr>
        <w:t>,</w:t>
      </w:r>
      <w:r w:rsidR="0008028C" w:rsidRPr="00463AE8">
        <w:rPr>
          <w:rFonts w:ascii="Georgia" w:hAnsi="Georgia" w:cs="Garamond"/>
          <w:sz w:val="24"/>
          <w:szCs w:val="24"/>
        </w:rPr>
        <w:t xml:space="preserve"> </w:t>
      </w:r>
      <w:r w:rsidR="0008028C" w:rsidRPr="00463AE8">
        <w:rPr>
          <w:rFonts w:ascii="Georgia" w:hAnsi="Georgia"/>
        </w:rPr>
        <w:t>Inquiry</w:t>
      </w:r>
      <w:r w:rsidR="0008028C" w:rsidRPr="00463AE8">
        <w:rPr>
          <w:rFonts w:ascii="Georgia" w:hAnsi="Georgia"/>
          <w:bCs/>
        </w:rPr>
        <w:t xml:space="preserve"> into Energy Storage Reports</w:t>
      </w:r>
      <w:r w:rsidR="00463AE8" w:rsidRPr="00463AE8">
        <w:rPr>
          <w:rFonts w:ascii="Georgia" w:hAnsi="Georgia"/>
          <w:bCs/>
        </w:rPr>
        <w:t>,</w:t>
      </w:r>
      <w:r w:rsidR="0008028C" w:rsidRPr="00463AE8">
        <w:rPr>
          <w:rFonts w:ascii="Georgia" w:hAnsi="Georgia"/>
        </w:rPr>
        <w:t xml:space="preserve"> </w:t>
      </w:r>
      <w:r w:rsidR="0008028C" w:rsidRPr="00463AE8">
        <w:rPr>
          <w:rFonts w:ascii="Georgia" w:hAnsi="Georgia"/>
          <w:bCs/>
        </w:rPr>
        <w:t>Docket No.  2025-00148</w:t>
      </w:r>
      <w:r w:rsidR="00463AE8" w:rsidRPr="00463AE8">
        <w:rPr>
          <w:rFonts w:ascii="Georgia" w:hAnsi="Georgia"/>
          <w:bCs/>
        </w:rPr>
        <w:t>.</w:t>
      </w:r>
    </w:p>
  </w:footnote>
  <w:footnote w:id="17">
    <w:p w14:paraId="35EBC25A" w14:textId="77777777" w:rsidR="0039652B" w:rsidRPr="00463AE8" w:rsidRDefault="00BB5906" w:rsidP="00BB5906">
      <w:pPr>
        <w:pStyle w:val="FootnoteText"/>
        <w:rPr>
          <w:rFonts w:ascii="Georgia" w:hAnsi="Georgia"/>
        </w:rPr>
      </w:pPr>
      <w:r w:rsidRPr="00463AE8">
        <w:rPr>
          <w:rStyle w:val="FootnoteReference"/>
          <w:rFonts w:ascii="Georgia" w:hAnsi="Georgia"/>
        </w:rPr>
        <w:footnoteRef/>
      </w:r>
      <w:r w:rsidRPr="00463AE8">
        <w:rPr>
          <w:rFonts w:ascii="Georgia" w:hAnsi="Georgia"/>
        </w:rPr>
        <w:t xml:space="preserve"> Governor’s Energy Office, </w:t>
      </w:r>
      <w:r w:rsidRPr="00463AE8">
        <w:rPr>
          <w:rFonts w:ascii="Georgia" w:hAnsi="Georgia"/>
          <w:i/>
          <w:iCs/>
        </w:rPr>
        <w:t>Maine Energy Storage Program Recommendations</w:t>
      </w:r>
      <w:r w:rsidRPr="00463AE8">
        <w:rPr>
          <w:rFonts w:ascii="Georgia" w:hAnsi="Georgia"/>
        </w:rPr>
        <w:t>, Submitted to the Maine</w:t>
      </w:r>
    </w:p>
    <w:p w14:paraId="229376B7" w14:textId="38738A50" w:rsidR="00BB5906" w:rsidRPr="00463AE8" w:rsidRDefault="0039652B" w:rsidP="00BB5906">
      <w:pPr>
        <w:pStyle w:val="FootnoteText"/>
        <w:rPr>
          <w:rFonts w:ascii="Georgia" w:hAnsi="Georgia"/>
        </w:rPr>
      </w:pPr>
      <w:r w:rsidRPr="00463AE8">
        <w:rPr>
          <w:rFonts w:ascii="Georgia" w:hAnsi="Georgia"/>
        </w:rPr>
        <w:t xml:space="preserve">  </w:t>
      </w:r>
      <w:r w:rsidR="00BB5906" w:rsidRPr="00463AE8">
        <w:rPr>
          <w:rFonts w:ascii="Georgia" w:hAnsi="Georgia"/>
        </w:rPr>
        <w:t xml:space="preserve"> </w:t>
      </w:r>
      <w:r w:rsidRPr="00463AE8">
        <w:rPr>
          <w:rFonts w:ascii="Georgia" w:hAnsi="Georgia"/>
        </w:rPr>
        <w:t xml:space="preserve"> </w:t>
      </w:r>
      <w:r w:rsidR="00BB5906" w:rsidRPr="00463AE8">
        <w:rPr>
          <w:rFonts w:ascii="Georgia" w:hAnsi="Georgia"/>
        </w:rPr>
        <w:t>Public Utilities Commission Pursuant to Public Law 2023, Chapter 374 (December 23, 2024)</w:t>
      </w:r>
    </w:p>
  </w:footnote>
  <w:footnote w:id="18">
    <w:p w14:paraId="7C5CBC1B" w14:textId="438DE3EC" w:rsidR="004756E9" w:rsidRPr="00463AE8" w:rsidRDefault="004756E9" w:rsidP="004756E9">
      <w:pPr>
        <w:pStyle w:val="FootnoteText"/>
        <w:rPr>
          <w:rFonts w:ascii="Georgia" w:hAnsi="Georgia"/>
        </w:rPr>
      </w:pPr>
      <w:r w:rsidRPr="00463AE8">
        <w:rPr>
          <w:rStyle w:val="FootnoteReference"/>
          <w:rFonts w:ascii="Georgia" w:hAnsi="Georgia"/>
        </w:rPr>
        <w:footnoteRef/>
      </w:r>
      <w:r w:rsidRPr="00463AE8">
        <w:rPr>
          <w:rFonts w:ascii="Georgia" w:hAnsi="Georgia"/>
        </w:rPr>
        <w:t xml:space="preserve"> </w:t>
      </w:r>
      <w:r w:rsidRPr="00463AE8">
        <w:rPr>
          <w:rFonts w:ascii="Georgia" w:hAnsi="Georgia"/>
          <w:i/>
          <w:iCs/>
        </w:rPr>
        <w:t>Id</w:t>
      </w:r>
      <w:r w:rsidR="0039652B" w:rsidRPr="00463AE8">
        <w:rPr>
          <w:rFonts w:ascii="Georgia" w:hAnsi="Georgia"/>
          <w:i/>
          <w:iCs/>
        </w:rPr>
        <w:t>.</w:t>
      </w:r>
      <w:r w:rsidRPr="00463AE8">
        <w:rPr>
          <w:rFonts w:ascii="Georgia" w:hAnsi="Georgia"/>
        </w:rPr>
        <w:t xml:space="preserve"> at 60.</w:t>
      </w:r>
    </w:p>
  </w:footnote>
  <w:footnote w:id="19">
    <w:p w14:paraId="0CA9426F" w14:textId="77777777" w:rsidR="004756E9" w:rsidRPr="0039652B" w:rsidRDefault="004756E9" w:rsidP="004756E9">
      <w:pPr>
        <w:pStyle w:val="FootnoteText"/>
        <w:rPr>
          <w:rFonts w:ascii="Georgia" w:hAnsi="Georgia"/>
        </w:rPr>
      </w:pPr>
      <w:r w:rsidRPr="00463AE8">
        <w:rPr>
          <w:rStyle w:val="FootnoteReference"/>
          <w:rFonts w:ascii="Georgia" w:hAnsi="Georgia"/>
        </w:rPr>
        <w:footnoteRef/>
      </w:r>
      <w:r w:rsidRPr="00463AE8">
        <w:rPr>
          <w:rFonts w:ascii="Georgia" w:hAnsi="Georgia"/>
        </w:rPr>
        <w:t xml:space="preserve"> Id at 64.</w:t>
      </w:r>
    </w:p>
  </w:footnote>
  <w:footnote w:id="20">
    <w:p w14:paraId="6422D4D8" w14:textId="3698F95E" w:rsidR="00BF4979" w:rsidRDefault="00BF4979">
      <w:pPr>
        <w:pStyle w:val="FootnoteText"/>
      </w:pPr>
      <w:r w:rsidRPr="0039652B">
        <w:rPr>
          <w:rStyle w:val="FootnoteReference"/>
          <w:rFonts w:ascii="Georgia" w:hAnsi="Georgia"/>
        </w:rPr>
        <w:footnoteRef/>
      </w:r>
      <w:r w:rsidRPr="0039652B">
        <w:rPr>
          <w:rFonts w:ascii="Georgia" w:hAnsi="Georgia"/>
        </w:rPr>
        <w:t xml:space="preserve"> Report at </w:t>
      </w:r>
      <w:r w:rsidR="004579C6" w:rsidRPr="0039652B">
        <w:rPr>
          <w:rFonts w:ascii="Georgia" w:hAnsi="Georgia"/>
        </w:rPr>
        <w:t>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A0E"/>
    <w:multiLevelType w:val="hybridMultilevel"/>
    <w:tmpl w:val="2BD27B62"/>
    <w:lvl w:ilvl="0" w:tplc="B382FA5A">
      <w:start w:val="1"/>
      <w:numFmt w:val="lowerLetter"/>
      <w:pStyle w:val="Heading4"/>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11466BC0"/>
    <w:multiLevelType w:val="hybridMultilevel"/>
    <w:tmpl w:val="07BE7678"/>
    <w:lvl w:ilvl="0" w:tplc="02D02808">
      <w:start w:val="1"/>
      <w:numFmt w:val="lowerRoman"/>
      <w:pStyle w:val="Heading5"/>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278335D"/>
    <w:multiLevelType w:val="hybridMultilevel"/>
    <w:tmpl w:val="BAB65242"/>
    <w:lvl w:ilvl="0" w:tplc="C93A3A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2200B2"/>
    <w:multiLevelType w:val="hybridMultilevel"/>
    <w:tmpl w:val="CD2C8516"/>
    <w:lvl w:ilvl="0" w:tplc="4CC0C4CC">
      <w:start w:val="1"/>
      <w:numFmt w:val="upperRoman"/>
      <w:pStyle w:val="Style3"/>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06381A"/>
    <w:multiLevelType w:val="multilevel"/>
    <w:tmpl w:val="E160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D11ACB"/>
    <w:multiLevelType w:val="hybridMultilevel"/>
    <w:tmpl w:val="302A34DE"/>
    <w:lvl w:ilvl="0" w:tplc="25487E94">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721F36"/>
    <w:multiLevelType w:val="hybridMultilevel"/>
    <w:tmpl w:val="767E1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FD503A"/>
    <w:multiLevelType w:val="hybridMultilevel"/>
    <w:tmpl w:val="F42CEBF6"/>
    <w:lvl w:ilvl="0" w:tplc="4B6A74EA">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C46485"/>
    <w:multiLevelType w:val="hybridMultilevel"/>
    <w:tmpl w:val="FC2E1D48"/>
    <w:lvl w:ilvl="0" w:tplc="2910BAF4">
      <w:start w:val="1"/>
      <w:numFmt w:val="decimal"/>
      <w:pStyle w:val="Heading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EC57D7C"/>
    <w:multiLevelType w:val="hybridMultilevel"/>
    <w:tmpl w:val="96604926"/>
    <w:lvl w:ilvl="0" w:tplc="E6CE2AB4">
      <w:start w:val="1"/>
      <w:numFmt w:val="upperLetter"/>
      <w:pStyle w:val="Style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1634FC4"/>
    <w:multiLevelType w:val="multilevel"/>
    <w:tmpl w:val="B452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1E7EAB"/>
    <w:multiLevelType w:val="hybridMultilevel"/>
    <w:tmpl w:val="71FA1580"/>
    <w:lvl w:ilvl="0" w:tplc="B3A65AA4">
      <w:start w:val="1"/>
      <w:numFmt w:val="upperLetter"/>
      <w:pStyle w:val="Heading2"/>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10634509">
    <w:abstractNumId w:val="3"/>
  </w:num>
  <w:num w:numId="2" w16cid:durableId="38941021">
    <w:abstractNumId w:val="7"/>
  </w:num>
  <w:num w:numId="3" w16cid:durableId="1968973300">
    <w:abstractNumId w:val="9"/>
  </w:num>
  <w:num w:numId="4" w16cid:durableId="1568035319">
    <w:abstractNumId w:val="7"/>
  </w:num>
  <w:num w:numId="5" w16cid:durableId="479688458">
    <w:abstractNumId w:val="7"/>
  </w:num>
  <w:num w:numId="6" w16cid:durableId="1771512081">
    <w:abstractNumId w:val="9"/>
  </w:num>
  <w:num w:numId="7" w16cid:durableId="1700665265">
    <w:abstractNumId w:val="3"/>
  </w:num>
  <w:num w:numId="8" w16cid:durableId="870067580">
    <w:abstractNumId w:val="5"/>
  </w:num>
  <w:num w:numId="9" w16cid:durableId="987586349">
    <w:abstractNumId w:val="7"/>
  </w:num>
  <w:num w:numId="10" w16cid:durableId="203374135">
    <w:abstractNumId w:val="5"/>
  </w:num>
  <w:num w:numId="11" w16cid:durableId="2018388913">
    <w:abstractNumId w:val="7"/>
  </w:num>
  <w:num w:numId="12" w16cid:durableId="928663801">
    <w:abstractNumId w:val="9"/>
  </w:num>
  <w:num w:numId="13" w16cid:durableId="1465805146">
    <w:abstractNumId w:val="3"/>
  </w:num>
  <w:num w:numId="14" w16cid:durableId="928542137">
    <w:abstractNumId w:val="8"/>
  </w:num>
  <w:num w:numId="15" w16cid:durableId="1100487795">
    <w:abstractNumId w:val="7"/>
  </w:num>
  <w:num w:numId="16" w16cid:durableId="1242790203">
    <w:abstractNumId w:val="5"/>
  </w:num>
  <w:num w:numId="17" w16cid:durableId="2059471002">
    <w:abstractNumId w:val="8"/>
  </w:num>
  <w:num w:numId="18" w16cid:durableId="1270971451">
    <w:abstractNumId w:val="7"/>
  </w:num>
  <w:num w:numId="19" w16cid:durableId="1812673512">
    <w:abstractNumId w:val="9"/>
  </w:num>
  <w:num w:numId="20" w16cid:durableId="1095398016">
    <w:abstractNumId w:val="3"/>
  </w:num>
  <w:num w:numId="21" w16cid:durableId="8533571">
    <w:abstractNumId w:val="0"/>
  </w:num>
  <w:num w:numId="22" w16cid:durableId="1041246013">
    <w:abstractNumId w:val="7"/>
  </w:num>
  <w:num w:numId="23" w16cid:durableId="79253257">
    <w:abstractNumId w:val="5"/>
  </w:num>
  <w:num w:numId="24" w16cid:durableId="1466120888">
    <w:abstractNumId w:val="8"/>
  </w:num>
  <w:num w:numId="25" w16cid:durableId="459344184">
    <w:abstractNumId w:val="0"/>
  </w:num>
  <w:num w:numId="26" w16cid:durableId="1738239106">
    <w:abstractNumId w:val="7"/>
  </w:num>
  <w:num w:numId="27" w16cid:durableId="812524983">
    <w:abstractNumId w:val="9"/>
  </w:num>
  <w:num w:numId="28" w16cid:durableId="987590127">
    <w:abstractNumId w:val="3"/>
  </w:num>
  <w:num w:numId="29" w16cid:durableId="1526942686">
    <w:abstractNumId w:val="1"/>
  </w:num>
  <w:num w:numId="30" w16cid:durableId="2142919221">
    <w:abstractNumId w:val="1"/>
  </w:num>
  <w:num w:numId="31" w16cid:durableId="1357732910">
    <w:abstractNumId w:val="7"/>
  </w:num>
  <w:num w:numId="32" w16cid:durableId="194394118">
    <w:abstractNumId w:val="0"/>
  </w:num>
  <w:num w:numId="33" w16cid:durableId="179781205">
    <w:abstractNumId w:val="5"/>
  </w:num>
  <w:num w:numId="34" w16cid:durableId="602153391">
    <w:abstractNumId w:val="7"/>
  </w:num>
  <w:num w:numId="35" w16cid:durableId="1679116658">
    <w:abstractNumId w:val="11"/>
  </w:num>
  <w:num w:numId="36" w16cid:durableId="753236672">
    <w:abstractNumId w:val="11"/>
  </w:num>
  <w:num w:numId="37" w16cid:durableId="760639956">
    <w:abstractNumId w:val="7"/>
  </w:num>
  <w:num w:numId="38" w16cid:durableId="1898468638">
    <w:abstractNumId w:val="7"/>
  </w:num>
  <w:num w:numId="39" w16cid:durableId="551617627">
    <w:abstractNumId w:val="6"/>
  </w:num>
  <w:num w:numId="40" w16cid:durableId="449011727">
    <w:abstractNumId w:val="2"/>
  </w:num>
  <w:num w:numId="41" w16cid:durableId="829298642">
    <w:abstractNumId w:val="4"/>
  </w:num>
  <w:num w:numId="42" w16cid:durableId="4102041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2821" w:allStyles="1" w:customStyles="0" w:latentStyles="0" w:stylesInUse="0" w:headingStyles="1" w:numberingStyles="0" w:tableStyles="0" w:directFormattingOnRuns="0" w:directFormattingOnParagraphs="0" w:directFormattingOnNumbering="0" w:directFormattingOnTables="1" w:clearFormatting="0"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c0NTMzMDO2NDY3NjJR0lEKTi0uzszPAykwrAUAHH2vUSwAAAA="/>
  </w:docVars>
  <w:rsids>
    <w:rsidRoot w:val="00284F83"/>
    <w:rsid w:val="00010027"/>
    <w:rsid w:val="000101D7"/>
    <w:rsid w:val="000164C8"/>
    <w:rsid w:val="00024C9D"/>
    <w:rsid w:val="00026771"/>
    <w:rsid w:val="0003295A"/>
    <w:rsid w:val="000365C7"/>
    <w:rsid w:val="000418F0"/>
    <w:rsid w:val="00041B05"/>
    <w:rsid w:val="000438D0"/>
    <w:rsid w:val="00044D25"/>
    <w:rsid w:val="00047FAD"/>
    <w:rsid w:val="00051C0B"/>
    <w:rsid w:val="00055E60"/>
    <w:rsid w:val="000671D4"/>
    <w:rsid w:val="000673CF"/>
    <w:rsid w:val="0008028C"/>
    <w:rsid w:val="000952AF"/>
    <w:rsid w:val="000A1EBC"/>
    <w:rsid w:val="000B004E"/>
    <w:rsid w:val="000B4774"/>
    <w:rsid w:val="000B5500"/>
    <w:rsid w:val="000C211B"/>
    <w:rsid w:val="000C296C"/>
    <w:rsid w:val="000C29D9"/>
    <w:rsid w:val="000C3B37"/>
    <w:rsid w:val="000C4DAD"/>
    <w:rsid w:val="000C590F"/>
    <w:rsid w:val="000D0989"/>
    <w:rsid w:val="000D0E59"/>
    <w:rsid w:val="000D12C9"/>
    <w:rsid w:val="000D22FE"/>
    <w:rsid w:val="000D3D39"/>
    <w:rsid w:val="000D792A"/>
    <w:rsid w:val="000E2464"/>
    <w:rsid w:val="001032BA"/>
    <w:rsid w:val="00103957"/>
    <w:rsid w:val="00104329"/>
    <w:rsid w:val="00111D87"/>
    <w:rsid w:val="001130D2"/>
    <w:rsid w:val="00115D48"/>
    <w:rsid w:val="00117E0C"/>
    <w:rsid w:val="001208B9"/>
    <w:rsid w:val="00122C46"/>
    <w:rsid w:val="001257F9"/>
    <w:rsid w:val="00126F75"/>
    <w:rsid w:val="00127764"/>
    <w:rsid w:val="00131EA3"/>
    <w:rsid w:val="001339E2"/>
    <w:rsid w:val="00145777"/>
    <w:rsid w:val="001507B0"/>
    <w:rsid w:val="001528DF"/>
    <w:rsid w:val="00152C1B"/>
    <w:rsid w:val="00153430"/>
    <w:rsid w:val="001537C6"/>
    <w:rsid w:val="00157F99"/>
    <w:rsid w:val="001637A2"/>
    <w:rsid w:val="00164AC4"/>
    <w:rsid w:val="001676ED"/>
    <w:rsid w:val="001710EE"/>
    <w:rsid w:val="0017304A"/>
    <w:rsid w:val="00174E32"/>
    <w:rsid w:val="00175239"/>
    <w:rsid w:val="001804A4"/>
    <w:rsid w:val="001825AA"/>
    <w:rsid w:val="00187BF6"/>
    <w:rsid w:val="00191968"/>
    <w:rsid w:val="00192CD3"/>
    <w:rsid w:val="0019524D"/>
    <w:rsid w:val="00195353"/>
    <w:rsid w:val="001A6FF3"/>
    <w:rsid w:val="001A79EA"/>
    <w:rsid w:val="001B4873"/>
    <w:rsid w:val="001B4D6B"/>
    <w:rsid w:val="001B4E86"/>
    <w:rsid w:val="001B5F55"/>
    <w:rsid w:val="001B6FE3"/>
    <w:rsid w:val="001C120A"/>
    <w:rsid w:val="001C1D62"/>
    <w:rsid w:val="001C5511"/>
    <w:rsid w:val="001D04E4"/>
    <w:rsid w:val="001D2C86"/>
    <w:rsid w:val="001D429F"/>
    <w:rsid w:val="001D46B8"/>
    <w:rsid w:val="001D60D7"/>
    <w:rsid w:val="001E6195"/>
    <w:rsid w:val="001F23BF"/>
    <w:rsid w:val="001F2B6D"/>
    <w:rsid w:val="001F4BE3"/>
    <w:rsid w:val="00203FF8"/>
    <w:rsid w:val="00206E3E"/>
    <w:rsid w:val="0021224B"/>
    <w:rsid w:val="00213865"/>
    <w:rsid w:val="00214314"/>
    <w:rsid w:val="00214B01"/>
    <w:rsid w:val="0021551B"/>
    <w:rsid w:val="0021766F"/>
    <w:rsid w:val="00222DA6"/>
    <w:rsid w:val="002231E6"/>
    <w:rsid w:val="002304B4"/>
    <w:rsid w:val="00232BD4"/>
    <w:rsid w:val="002416DE"/>
    <w:rsid w:val="00257F9D"/>
    <w:rsid w:val="00261374"/>
    <w:rsid w:val="00267819"/>
    <w:rsid w:val="0028485A"/>
    <w:rsid w:val="00284F83"/>
    <w:rsid w:val="00287431"/>
    <w:rsid w:val="00290EF6"/>
    <w:rsid w:val="002923F7"/>
    <w:rsid w:val="002A025E"/>
    <w:rsid w:val="002A0F8C"/>
    <w:rsid w:val="002A172F"/>
    <w:rsid w:val="002A3EEB"/>
    <w:rsid w:val="002A42E2"/>
    <w:rsid w:val="002A497E"/>
    <w:rsid w:val="002A7A80"/>
    <w:rsid w:val="002B08CB"/>
    <w:rsid w:val="002B60E4"/>
    <w:rsid w:val="002C2B44"/>
    <w:rsid w:val="002D4DD2"/>
    <w:rsid w:val="002D5567"/>
    <w:rsid w:val="002D6484"/>
    <w:rsid w:val="002D71DB"/>
    <w:rsid w:val="002E336A"/>
    <w:rsid w:val="002E561E"/>
    <w:rsid w:val="002F5A73"/>
    <w:rsid w:val="00302975"/>
    <w:rsid w:val="003032BD"/>
    <w:rsid w:val="00304DB3"/>
    <w:rsid w:val="003105A3"/>
    <w:rsid w:val="00311024"/>
    <w:rsid w:val="00311183"/>
    <w:rsid w:val="00312F9C"/>
    <w:rsid w:val="003153AA"/>
    <w:rsid w:val="003202CF"/>
    <w:rsid w:val="00327993"/>
    <w:rsid w:val="00333F1C"/>
    <w:rsid w:val="00340A25"/>
    <w:rsid w:val="00340B6C"/>
    <w:rsid w:val="00341BBF"/>
    <w:rsid w:val="00343356"/>
    <w:rsid w:val="003506F1"/>
    <w:rsid w:val="003529A1"/>
    <w:rsid w:val="00353495"/>
    <w:rsid w:val="003572E1"/>
    <w:rsid w:val="00367EB8"/>
    <w:rsid w:val="003749FF"/>
    <w:rsid w:val="0039652B"/>
    <w:rsid w:val="003A2021"/>
    <w:rsid w:val="003A3C66"/>
    <w:rsid w:val="003A64F0"/>
    <w:rsid w:val="003B145C"/>
    <w:rsid w:val="003B6EBD"/>
    <w:rsid w:val="003C0E23"/>
    <w:rsid w:val="003C4C7E"/>
    <w:rsid w:val="003C5F57"/>
    <w:rsid w:val="003C77EF"/>
    <w:rsid w:val="003D07EE"/>
    <w:rsid w:val="003D1E07"/>
    <w:rsid w:val="003D288B"/>
    <w:rsid w:val="003D3BB6"/>
    <w:rsid w:val="003D40A7"/>
    <w:rsid w:val="003D4617"/>
    <w:rsid w:val="003E00B9"/>
    <w:rsid w:val="003E11EE"/>
    <w:rsid w:val="003E5915"/>
    <w:rsid w:val="003E7816"/>
    <w:rsid w:val="003F392B"/>
    <w:rsid w:val="00412442"/>
    <w:rsid w:val="004235DA"/>
    <w:rsid w:val="00423736"/>
    <w:rsid w:val="00423CC3"/>
    <w:rsid w:val="004264CF"/>
    <w:rsid w:val="004340D3"/>
    <w:rsid w:val="00440438"/>
    <w:rsid w:val="00441617"/>
    <w:rsid w:val="004430F5"/>
    <w:rsid w:val="00445DC3"/>
    <w:rsid w:val="00447D68"/>
    <w:rsid w:val="004511B3"/>
    <w:rsid w:val="00454DC7"/>
    <w:rsid w:val="004579C6"/>
    <w:rsid w:val="00461614"/>
    <w:rsid w:val="00462B70"/>
    <w:rsid w:val="00463AE8"/>
    <w:rsid w:val="004751D6"/>
    <w:rsid w:val="004756E9"/>
    <w:rsid w:val="004760C0"/>
    <w:rsid w:val="00477380"/>
    <w:rsid w:val="00482B85"/>
    <w:rsid w:val="00486880"/>
    <w:rsid w:val="004916F7"/>
    <w:rsid w:val="0049206C"/>
    <w:rsid w:val="0049232C"/>
    <w:rsid w:val="004978A0"/>
    <w:rsid w:val="004A163A"/>
    <w:rsid w:val="004A27D8"/>
    <w:rsid w:val="004A2DA8"/>
    <w:rsid w:val="004A4A4E"/>
    <w:rsid w:val="004A5355"/>
    <w:rsid w:val="004A6394"/>
    <w:rsid w:val="004A6FE5"/>
    <w:rsid w:val="004B3A78"/>
    <w:rsid w:val="004B56F0"/>
    <w:rsid w:val="004C129E"/>
    <w:rsid w:val="004C4C7F"/>
    <w:rsid w:val="004C4E35"/>
    <w:rsid w:val="004C6AAB"/>
    <w:rsid w:val="004D1371"/>
    <w:rsid w:val="004D6594"/>
    <w:rsid w:val="004F307D"/>
    <w:rsid w:val="004F7383"/>
    <w:rsid w:val="005039EB"/>
    <w:rsid w:val="00504F23"/>
    <w:rsid w:val="00505B74"/>
    <w:rsid w:val="00511520"/>
    <w:rsid w:val="00520D76"/>
    <w:rsid w:val="00531D22"/>
    <w:rsid w:val="00533743"/>
    <w:rsid w:val="005423C8"/>
    <w:rsid w:val="00543F9F"/>
    <w:rsid w:val="00544A7B"/>
    <w:rsid w:val="0055108D"/>
    <w:rsid w:val="00555E91"/>
    <w:rsid w:val="005615C9"/>
    <w:rsid w:val="00564AE1"/>
    <w:rsid w:val="00574F9B"/>
    <w:rsid w:val="005777BD"/>
    <w:rsid w:val="00583C8B"/>
    <w:rsid w:val="00587C75"/>
    <w:rsid w:val="00594730"/>
    <w:rsid w:val="005969CA"/>
    <w:rsid w:val="00597EC6"/>
    <w:rsid w:val="005B0947"/>
    <w:rsid w:val="005B2317"/>
    <w:rsid w:val="005C1BED"/>
    <w:rsid w:val="005C6A4B"/>
    <w:rsid w:val="005D2897"/>
    <w:rsid w:val="005D4D13"/>
    <w:rsid w:val="005D5D95"/>
    <w:rsid w:val="005D7BB6"/>
    <w:rsid w:val="005E0A6C"/>
    <w:rsid w:val="005E2E0A"/>
    <w:rsid w:val="005E35D0"/>
    <w:rsid w:val="005F6DCE"/>
    <w:rsid w:val="00600697"/>
    <w:rsid w:val="006058E5"/>
    <w:rsid w:val="00605C75"/>
    <w:rsid w:val="00607B43"/>
    <w:rsid w:val="006129CB"/>
    <w:rsid w:val="00613DB0"/>
    <w:rsid w:val="00614088"/>
    <w:rsid w:val="006225BC"/>
    <w:rsid w:val="006226A3"/>
    <w:rsid w:val="00622E5A"/>
    <w:rsid w:val="00624F8F"/>
    <w:rsid w:val="006310BE"/>
    <w:rsid w:val="00633734"/>
    <w:rsid w:val="006339A5"/>
    <w:rsid w:val="00641563"/>
    <w:rsid w:val="00643E33"/>
    <w:rsid w:val="00660821"/>
    <w:rsid w:val="00661830"/>
    <w:rsid w:val="0066585D"/>
    <w:rsid w:val="00667C12"/>
    <w:rsid w:val="00667FC1"/>
    <w:rsid w:val="0067291E"/>
    <w:rsid w:val="00676405"/>
    <w:rsid w:val="0067744F"/>
    <w:rsid w:val="00684A13"/>
    <w:rsid w:val="00696D49"/>
    <w:rsid w:val="0069714F"/>
    <w:rsid w:val="0069742F"/>
    <w:rsid w:val="006A299C"/>
    <w:rsid w:val="006C0DC5"/>
    <w:rsid w:val="006C13F4"/>
    <w:rsid w:val="006C3435"/>
    <w:rsid w:val="006D12AA"/>
    <w:rsid w:val="006D7D13"/>
    <w:rsid w:val="006E1E3A"/>
    <w:rsid w:val="006E7CA5"/>
    <w:rsid w:val="006F070F"/>
    <w:rsid w:val="006F2F54"/>
    <w:rsid w:val="00705C6C"/>
    <w:rsid w:val="0071276D"/>
    <w:rsid w:val="00720063"/>
    <w:rsid w:val="00722470"/>
    <w:rsid w:val="00722702"/>
    <w:rsid w:val="00731F1A"/>
    <w:rsid w:val="00734152"/>
    <w:rsid w:val="0074042A"/>
    <w:rsid w:val="0074098D"/>
    <w:rsid w:val="00741603"/>
    <w:rsid w:val="00743E37"/>
    <w:rsid w:val="00747999"/>
    <w:rsid w:val="00755CCF"/>
    <w:rsid w:val="00756FC4"/>
    <w:rsid w:val="00757CA2"/>
    <w:rsid w:val="0076026F"/>
    <w:rsid w:val="00762505"/>
    <w:rsid w:val="007678D6"/>
    <w:rsid w:val="00775A3F"/>
    <w:rsid w:val="007776FD"/>
    <w:rsid w:val="007827C5"/>
    <w:rsid w:val="00797316"/>
    <w:rsid w:val="007A00B3"/>
    <w:rsid w:val="007A01BC"/>
    <w:rsid w:val="007A16B2"/>
    <w:rsid w:val="007B07A3"/>
    <w:rsid w:val="007B2CD8"/>
    <w:rsid w:val="007B4481"/>
    <w:rsid w:val="007B7E7B"/>
    <w:rsid w:val="007C2B1E"/>
    <w:rsid w:val="007C5452"/>
    <w:rsid w:val="007C7934"/>
    <w:rsid w:val="007D6AB4"/>
    <w:rsid w:val="007E39A7"/>
    <w:rsid w:val="007E47B0"/>
    <w:rsid w:val="007E6D5B"/>
    <w:rsid w:val="007F0A20"/>
    <w:rsid w:val="007F1725"/>
    <w:rsid w:val="007F7D8E"/>
    <w:rsid w:val="008009D8"/>
    <w:rsid w:val="00802AE0"/>
    <w:rsid w:val="008043F1"/>
    <w:rsid w:val="00804E99"/>
    <w:rsid w:val="00814969"/>
    <w:rsid w:val="008220C0"/>
    <w:rsid w:val="00822EFA"/>
    <w:rsid w:val="00832583"/>
    <w:rsid w:val="0083373E"/>
    <w:rsid w:val="00833A8A"/>
    <w:rsid w:val="00833C07"/>
    <w:rsid w:val="00833E9B"/>
    <w:rsid w:val="0083783A"/>
    <w:rsid w:val="008402AB"/>
    <w:rsid w:val="00844B79"/>
    <w:rsid w:val="00850E39"/>
    <w:rsid w:val="008521A8"/>
    <w:rsid w:val="00855BFA"/>
    <w:rsid w:val="00855D63"/>
    <w:rsid w:val="00867EB0"/>
    <w:rsid w:val="00873D0E"/>
    <w:rsid w:val="00877138"/>
    <w:rsid w:val="00877255"/>
    <w:rsid w:val="00880F04"/>
    <w:rsid w:val="00886E45"/>
    <w:rsid w:val="0089179F"/>
    <w:rsid w:val="008935E6"/>
    <w:rsid w:val="0089619D"/>
    <w:rsid w:val="008A2D52"/>
    <w:rsid w:val="008A4ADB"/>
    <w:rsid w:val="008A5AE0"/>
    <w:rsid w:val="008B1953"/>
    <w:rsid w:val="008B20FF"/>
    <w:rsid w:val="008B7111"/>
    <w:rsid w:val="008B763C"/>
    <w:rsid w:val="008C41B5"/>
    <w:rsid w:val="008C4BA7"/>
    <w:rsid w:val="008D0C63"/>
    <w:rsid w:val="008D6DEA"/>
    <w:rsid w:val="008E1F4E"/>
    <w:rsid w:val="008E72DC"/>
    <w:rsid w:val="008F2D8E"/>
    <w:rsid w:val="008F38B2"/>
    <w:rsid w:val="00902D0B"/>
    <w:rsid w:val="00907664"/>
    <w:rsid w:val="0090786C"/>
    <w:rsid w:val="00912C46"/>
    <w:rsid w:val="00916675"/>
    <w:rsid w:val="00917E01"/>
    <w:rsid w:val="00920D35"/>
    <w:rsid w:val="00935CDC"/>
    <w:rsid w:val="0093783B"/>
    <w:rsid w:val="00940329"/>
    <w:rsid w:val="00951E11"/>
    <w:rsid w:val="00962352"/>
    <w:rsid w:val="0097276A"/>
    <w:rsid w:val="00973920"/>
    <w:rsid w:val="00973ED9"/>
    <w:rsid w:val="0097465B"/>
    <w:rsid w:val="009750DE"/>
    <w:rsid w:val="0097634D"/>
    <w:rsid w:val="00980007"/>
    <w:rsid w:val="0098189F"/>
    <w:rsid w:val="009841EB"/>
    <w:rsid w:val="00993E04"/>
    <w:rsid w:val="00996A26"/>
    <w:rsid w:val="00997EF7"/>
    <w:rsid w:val="009A1F30"/>
    <w:rsid w:val="009A4269"/>
    <w:rsid w:val="009A6380"/>
    <w:rsid w:val="009B4087"/>
    <w:rsid w:val="009C2CF9"/>
    <w:rsid w:val="009C5DE4"/>
    <w:rsid w:val="009D1675"/>
    <w:rsid w:val="009D2E10"/>
    <w:rsid w:val="009D4FA5"/>
    <w:rsid w:val="009D554B"/>
    <w:rsid w:val="009D7449"/>
    <w:rsid w:val="009E3E86"/>
    <w:rsid w:val="009E52AC"/>
    <w:rsid w:val="009E7E4A"/>
    <w:rsid w:val="009F27DF"/>
    <w:rsid w:val="009F4455"/>
    <w:rsid w:val="009F5C93"/>
    <w:rsid w:val="009F6237"/>
    <w:rsid w:val="009F6ECF"/>
    <w:rsid w:val="00A013A6"/>
    <w:rsid w:val="00A10F06"/>
    <w:rsid w:val="00A17D58"/>
    <w:rsid w:val="00A2339A"/>
    <w:rsid w:val="00A30343"/>
    <w:rsid w:val="00A3175B"/>
    <w:rsid w:val="00A346E6"/>
    <w:rsid w:val="00A353A5"/>
    <w:rsid w:val="00A362D3"/>
    <w:rsid w:val="00A36852"/>
    <w:rsid w:val="00A45076"/>
    <w:rsid w:val="00A45870"/>
    <w:rsid w:val="00A616AB"/>
    <w:rsid w:val="00A65172"/>
    <w:rsid w:val="00A667DE"/>
    <w:rsid w:val="00A70E0D"/>
    <w:rsid w:val="00A72AF5"/>
    <w:rsid w:val="00A74BC1"/>
    <w:rsid w:val="00A8545C"/>
    <w:rsid w:val="00A86347"/>
    <w:rsid w:val="00A866CE"/>
    <w:rsid w:val="00A9202A"/>
    <w:rsid w:val="00A971B9"/>
    <w:rsid w:val="00AA0402"/>
    <w:rsid w:val="00AA2403"/>
    <w:rsid w:val="00AA49D7"/>
    <w:rsid w:val="00AA5375"/>
    <w:rsid w:val="00AA7D34"/>
    <w:rsid w:val="00AB6094"/>
    <w:rsid w:val="00AC30A9"/>
    <w:rsid w:val="00AC68A4"/>
    <w:rsid w:val="00AD121F"/>
    <w:rsid w:val="00AD335A"/>
    <w:rsid w:val="00AE1FC7"/>
    <w:rsid w:val="00AE77E7"/>
    <w:rsid w:val="00AE7937"/>
    <w:rsid w:val="00AE7BD5"/>
    <w:rsid w:val="00AF2B6F"/>
    <w:rsid w:val="00AF2DF2"/>
    <w:rsid w:val="00AF6BEE"/>
    <w:rsid w:val="00B02B29"/>
    <w:rsid w:val="00B133DE"/>
    <w:rsid w:val="00B13903"/>
    <w:rsid w:val="00B14E31"/>
    <w:rsid w:val="00B205C8"/>
    <w:rsid w:val="00B240FD"/>
    <w:rsid w:val="00B33990"/>
    <w:rsid w:val="00B354D3"/>
    <w:rsid w:val="00B359B7"/>
    <w:rsid w:val="00B36D79"/>
    <w:rsid w:val="00B370A0"/>
    <w:rsid w:val="00B4091D"/>
    <w:rsid w:val="00B44A5D"/>
    <w:rsid w:val="00B50A0E"/>
    <w:rsid w:val="00B50D3D"/>
    <w:rsid w:val="00B61BE3"/>
    <w:rsid w:val="00B75D50"/>
    <w:rsid w:val="00B760CD"/>
    <w:rsid w:val="00B76B1A"/>
    <w:rsid w:val="00B8567E"/>
    <w:rsid w:val="00B8597A"/>
    <w:rsid w:val="00B865C9"/>
    <w:rsid w:val="00B87B12"/>
    <w:rsid w:val="00BA546F"/>
    <w:rsid w:val="00BA6288"/>
    <w:rsid w:val="00BA7124"/>
    <w:rsid w:val="00BB132B"/>
    <w:rsid w:val="00BB1C81"/>
    <w:rsid w:val="00BB4F8D"/>
    <w:rsid w:val="00BB5906"/>
    <w:rsid w:val="00BC0464"/>
    <w:rsid w:val="00BC2C3B"/>
    <w:rsid w:val="00BC56C4"/>
    <w:rsid w:val="00BC5BB0"/>
    <w:rsid w:val="00BC6F61"/>
    <w:rsid w:val="00BC7C6E"/>
    <w:rsid w:val="00BD03C5"/>
    <w:rsid w:val="00BD1D46"/>
    <w:rsid w:val="00BD24E0"/>
    <w:rsid w:val="00BD282E"/>
    <w:rsid w:val="00BD2FE2"/>
    <w:rsid w:val="00BE15A7"/>
    <w:rsid w:val="00BE2CE3"/>
    <w:rsid w:val="00BE51BB"/>
    <w:rsid w:val="00BE6BC7"/>
    <w:rsid w:val="00BF1B30"/>
    <w:rsid w:val="00BF4232"/>
    <w:rsid w:val="00BF4979"/>
    <w:rsid w:val="00BF5F19"/>
    <w:rsid w:val="00BF72F4"/>
    <w:rsid w:val="00C07BFB"/>
    <w:rsid w:val="00C12A18"/>
    <w:rsid w:val="00C1774D"/>
    <w:rsid w:val="00C20D80"/>
    <w:rsid w:val="00C2370C"/>
    <w:rsid w:val="00C3458D"/>
    <w:rsid w:val="00C36B10"/>
    <w:rsid w:val="00C519C5"/>
    <w:rsid w:val="00C536FB"/>
    <w:rsid w:val="00C74C50"/>
    <w:rsid w:val="00C75BF7"/>
    <w:rsid w:val="00C76007"/>
    <w:rsid w:val="00C8073E"/>
    <w:rsid w:val="00C81310"/>
    <w:rsid w:val="00C84306"/>
    <w:rsid w:val="00C85173"/>
    <w:rsid w:val="00C85D18"/>
    <w:rsid w:val="00C87DA5"/>
    <w:rsid w:val="00C9192C"/>
    <w:rsid w:val="00C94899"/>
    <w:rsid w:val="00C95F53"/>
    <w:rsid w:val="00C96D8C"/>
    <w:rsid w:val="00CA1291"/>
    <w:rsid w:val="00CA168F"/>
    <w:rsid w:val="00CA3C5A"/>
    <w:rsid w:val="00CB04A9"/>
    <w:rsid w:val="00CB2224"/>
    <w:rsid w:val="00CC74BC"/>
    <w:rsid w:val="00CD05D7"/>
    <w:rsid w:val="00CD0659"/>
    <w:rsid w:val="00CD3BEF"/>
    <w:rsid w:val="00CD3D5F"/>
    <w:rsid w:val="00CD658E"/>
    <w:rsid w:val="00CE0E5F"/>
    <w:rsid w:val="00CE2D31"/>
    <w:rsid w:val="00CE6733"/>
    <w:rsid w:val="00CF1B4E"/>
    <w:rsid w:val="00CF58EF"/>
    <w:rsid w:val="00CF68C3"/>
    <w:rsid w:val="00CF7855"/>
    <w:rsid w:val="00CF7DF9"/>
    <w:rsid w:val="00D04171"/>
    <w:rsid w:val="00D05FCE"/>
    <w:rsid w:val="00D17E90"/>
    <w:rsid w:val="00D26403"/>
    <w:rsid w:val="00D310BA"/>
    <w:rsid w:val="00D31AF6"/>
    <w:rsid w:val="00D35377"/>
    <w:rsid w:val="00D361EC"/>
    <w:rsid w:val="00D36D53"/>
    <w:rsid w:val="00D57B45"/>
    <w:rsid w:val="00D60CAE"/>
    <w:rsid w:val="00D64253"/>
    <w:rsid w:val="00D72015"/>
    <w:rsid w:val="00D7279E"/>
    <w:rsid w:val="00D72F11"/>
    <w:rsid w:val="00D757F6"/>
    <w:rsid w:val="00D76841"/>
    <w:rsid w:val="00D77773"/>
    <w:rsid w:val="00D80602"/>
    <w:rsid w:val="00D8538F"/>
    <w:rsid w:val="00DB2611"/>
    <w:rsid w:val="00DB506D"/>
    <w:rsid w:val="00DB59FA"/>
    <w:rsid w:val="00DB6E4B"/>
    <w:rsid w:val="00DC4750"/>
    <w:rsid w:val="00DC60B2"/>
    <w:rsid w:val="00DC76D2"/>
    <w:rsid w:val="00DC7F11"/>
    <w:rsid w:val="00DD0F51"/>
    <w:rsid w:val="00DD1AA1"/>
    <w:rsid w:val="00DE029E"/>
    <w:rsid w:val="00DE55EC"/>
    <w:rsid w:val="00DE567D"/>
    <w:rsid w:val="00DE72CB"/>
    <w:rsid w:val="00DE77AF"/>
    <w:rsid w:val="00DF64C4"/>
    <w:rsid w:val="00DF685E"/>
    <w:rsid w:val="00E00813"/>
    <w:rsid w:val="00E045E9"/>
    <w:rsid w:val="00E065FE"/>
    <w:rsid w:val="00E10B1F"/>
    <w:rsid w:val="00E22664"/>
    <w:rsid w:val="00E22730"/>
    <w:rsid w:val="00E23B3E"/>
    <w:rsid w:val="00E2402C"/>
    <w:rsid w:val="00E30327"/>
    <w:rsid w:val="00E333B0"/>
    <w:rsid w:val="00E337AF"/>
    <w:rsid w:val="00E35EAD"/>
    <w:rsid w:val="00E42E66"/>
    <w:rsid w:val="00E43964"/>
    <w:rsid w:val="00E43A98"/>
    <w:rsid w:val="00E52EB2"/>
    <w:rsid w:val="00E53A2E"/>
    <w:rsid w:val="00E54EC1"/>
    <w:rsid w:val="00E70704"/>
    <w:rsid w:val="00E84138"/>
    <w:rsid w:val="00E84E55"/>
    <w:rsid w:val="00E85DD1"/>
    <w:rsid w:val="00E87CFE"/>
    <w:rsid w:val="00E92636"/>
    <w:rsid w:val="00E96DE2"/>
    <w:rsid w:val="00EA1BC7"/>
    <w:rsid w:val="00EA37A6"/>
    <w:rsid w:val="00EC37D6"/>
    <w:rsid w:val="00ED0EE6"/>
    <w:rsid w:val="00ED42F0"/>
    <w:rsid w:val="00ED67CF"/>
    <w:rsid w:val="00EE038F"/>
    <w:rsid w:val="00EE14BA"/>
    <w:rsid w:val="00EE3A3D"/>
    <w:rsid w:val="00EE43AF"/>
    <w:rsid w:val="00EE65B8"/>
    <w:rsid w:val="00EF0D2A"/>
    <w:rsid w:val="00EF6A97"/>
    <w:rsid w:val="00F02A9C"/>
    <w:rsid w:val="00F05987"/>
    <w:rsid w:val="00F13462"/>
    <w:rsid w:val="00F148BE"/>
    <w:rsid w:val="00F1491D"/>
    <w:rsid w:val="00F24D22"/>
    <w:rsid w:val="00F30364"/>
    <w:rsid w:val="00F30714"/>
    <w:rsid w:val="00F31317"/>
    <w:rsid w:val="00F32A58"/>
    <w:rsid w:val="00F32DAA"/>
    <w:rsid w:val="00F33141"/>
    <w:rsid w:val="00F359FA"/>
    <w:rsid w:val="00F4285E"/>
    <w:rsid w:val="00F43C93"/>
    <w:rsid w:val="00F50C06"/>
    <w:rsid w:val="00F52F50"/>
    <w:rsid w:val="00F53F5F"/>
    <w:rsid w:val="00F55390"/>
    <w:rsid w:val="00F72002"/>
    <w:rsid w:val="00F74C50"/>
    <w:rsid w:val="00F75B7A"/>
    <w:rsid w:val="00F75E9C"/>
    <w:rsid w:val="00F76B30"/>
    <w:rsid w:val="00F77908"/>
    <w:rsid w:val="00F77D9F"/>
    <w:rsid w:val="00F8080F"/>
    <w:rsid w:val="00F831CC"/>
    <w:rsid w:val="00F84FD4"/>
    <w:rsid w:val="00F85B37"/>
    <w:rsid w:val="00F9084F"/>
    <w:rsid w:val="00F91B74"/>
    <w:rsid w:val="00F91BA2"/>
    <w:rsid w:val="00F9386B"/>
    <w:rsid w:val="00F97E6C"/>
    <w:rsid w:val="00FA6DB0"/>
    <w:rsid w:val="00FB3DBF"/>
    <w:rsid w:val="00FC06D8"/>
    <w:rsid w:val="00FC0A8F"/>
    <w:rsid w:val="00FC0D9A"/>
    <w:rsid w:val="00FC327F"/>
    <w:rsid w:val="00FC6DAC"/>
    <w:rsid w:val="00FD33D1"/>
    <w:rsid w:val="00FD524E"/>
    <w:rsid w:val="00FE1E38"/>
    <w:rsid w:val="00FE5918"/>
    <w:rsid w:val="00FF1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5C8BC"/>
  <w15:docId w15:val="{62166580-35CF-427C-86BB-05B010D3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84F83"/>
    <w:pPr>
      <w:widowControl w:val="0"/>
    </w:pPr>
    <w:rPr>
      <w:rFonts w:asciiTheme="minorHAnsi" w:hAnsiTheme="minorHAnsi" w:cstheme="minorBidi"/>
      <w:sz w:val="22"/>
      <w:szCs w:val="22"/>
    </w:rPr>
  </w:style>
  <w:style w:type="paragraph" w:styleId="Heading1">
    <w:name w:val="heading 1"/>
    <w:basedOn w:val="Normal"/>
    <w:next w:val="Normal"/>
    <w:link w:val="Heading1Char"/>
    <w:uiPriority w:val="9"/>
    <w:qFormat/>
    <w:rsid w:val="00FC0D9A"/>
    <w:pPr>
      <w:keepNext/>
      <w:keepLines/>
      <w:widowControl/>
      <w:numPr>
        <w:numId w:val="38"/>
      </w:numPr>
      <w:tabs>
        <w:tab w:val="num" w:pos="360"/>
      </w:tabs>
      <w:spacing w:before="240"/>
      <w:ind w:left="0" w:firstLine="0"/>
      <w:outlineLvl w:val="0"/>
    </w:pPr>
    <w:rPr>
      <w:rFonts w:ascii="Times New Roman" w:eastAsiaTheme="majorEastAsia" w:hAnsi="Times New Roman" w:cstheme="majorBidi"/>
      <w:b/>
      <w:bCs/>
      <w:caps/>
      <w:color w:val="000000" w:themeColor="text1"/>
      <w:sz w:val="20"/>
      <w:szCs w:val="28"/>
    </w:rPr>
  </w:style>
  <w:style w:type="paragraph" w:styleId="Heading2">
    <w:name w:val="heading 2"/>
    <w:basedOn w:val="Normal"/>
    <w:next w:val="Normal"/>
    <w:link w:val="Heading2Char"/>
    <w:uiPriority w:val="9"/>
    <w:unhideWhenUsed/>
    <w:qFormat/>
    <w:rsid w:val="00FC0D9A"/>
    <w:pPr>
      <w:keepNext/>
      <w:keepLines/>
      <w:widowControl/>
      <w:numPr>
        <w:numId w:val="36"/>
      </w:numPr>
      <w:tabs>
        <w:tab w:val="num" w:pos="360"/>
      </w:tabs>
      <w:spacing w:before="240"/>
      <w:outlineLvl w:val="1"/>
    </w:pPr>
    <w:rPr>
      <w:rFonts w:ascii="Times New Roman" w:eastAsiaTheme="majorEastAsia" w:hAnsi="Times New Roman" w:cstheme="majorBidi"/>
      <w:bCs/>
      <w:smallCaps/>
      <w:color w:val="000000" w:themeColor="text1"/>
      <w:sz w:val="20"/>
      <w:szCs w:val="26"/>
    </w:rPr>
  </w:style>
  <w:style w:type="paragraph" w:styleId="Heading3">
    <w:name w:val="heading 3"/>
    <w:basedOn w:val="Normal"/>
    <w:next w:val="Normal"/>
    <w:link w:val="Heading3Char"/>
    <w:uiPriority w:val="9"/>
    <w:unhideWhenUsed/>
    <w:qFormat/>
    <w:rsid w:val="00993E04"/>
    <w:pPr>
      <w:keepNext/>
      <w:keepLines/>
      <w:widowControl/>
      <w:numPr>
        <w:numId w:val="24"/>
      </w:numPr>
      <w:spacing w:before="240"/>
      <w:outlineLvl w:val="2"/>
    </w:pPr>
    <w:rPr>
      <w:rFonts w:ascii="Times New Roman" w:eastAsiaTheme="majorEastAsia" w:hAnsi="Times New Roman" w:cstheme="majorBidi"/>
      <w:b/>
      <w:bCs/>
      <w:color w:val="000000" w:themeColor="text1"/>
      <w:sz w:val="20"/>
      <w:szCs w:val="20"/>
    </w:rPr>
  </w:style>
  <w:style w:type="paragraph" w:styleId="Heading4">
    <w:name w:val="heading 4"/>
    <w:basedOn w:val="Normal"/>
    <w:next w:val="Normal"/>
    <w:link w:val="Heading4Char"/>
    <w:uiPriority w:val="9"/>
    <w:unhideWhenUsed/>
    <w:qFormat/>
    <w:rsid w:val="00BD1D46"/>
    <w:pPr>
      <w:keepNext/>
      <w:keepLines/>
      <w:widowControl/>
      <w:numPr>
        <w:numId w:val="25"/>
      </w:numPr>
      <w:spacing w:before="240"/>
      <w:ind w:left="1800"/>
      <w:outlineLvl w:val="3"/>
    </w:pPr>
    <w:rPr>
      <w:rFonts w:ascii="Times New Roman" w:eastAsiaTheme="majorEastAsia" w:hAnsi="Times New Roman" w:cstheme="majorBidi"/>
      <w:bCs/>
      <w:iCs/>
      <w:color w:val="000000" w:themeColor="text1"/>
      <w:sz w:val="20"/>
      <w:szCs w:val="20"/>
    </w:rPr>
  </w:style>
  <w:style w:type="paragraph" w:styleId="Heading5">
    <w:name w:val="heading 5"/>
    <w:basedOn w:val="Normal"/>
    <w:next w:val="Normal"/>
    <w:link w:val="Heading5Char"/>
    <w:uiPriority w:val="9"/>
    <w:unhideWhenUsed/>
    <w:qFormat/>
    <w:rsid w:val="00BD1D46"/>
    <w:pPr>
      <w:keepNext/>
      <w:keepLines/>
      <w:widowControl/>
      <w:numPr>
        <w:numId w:val="29"/>
      </w:numPr>
      <w:spacing w:before="360"/>
      <w:outlineLvl w:val="4"/>
    </w:pPr>
    <w:rPr>
      <w:rFonts w:ascii="Times New Roman" w:eastAsiaTheme="majorEastAsia" w:hAnsi="Times New Roman" w:cstheme="majorBidi"/>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link w:val="Style1Char"/>
    <w:qFormat/>
    <w:rsid w:val="00993E04"/>
    <w:pPr>
      <w:numPr>
        <w:numId w:val="0"/>
      </w:numPr>
    </w:pPr>
    <w:rPr>
      <w:b w:val="0"/>
      <w:caps w:val="0"/>
    </w:rPr>
  </w:style>
  <w:style w:type="character" w:customStyle="1" w:styleId="Style1Char">
    <w:name w:val="Style1 Char"/>
    <w:basedOn w:val="Heading1Char"/>
    <w:link w:val="Style1"/>
    <w:rsid w:val="00993E04"/>
    <w:rPr>
      <w:rFonts w:ascii="Times New Roman" w:eastAsiaTheme="majorEastAsia" w:hAnsi="Times New Roman" w:cstheme="majorBidi"/>
      <w:b w:val="0"/>
      <w:bCs/>
      <w:caps w:val="0"/>
      <w:color w:val="000000" w:themeColor="text1"/>
      <w:sz w:val="24"/>
      <w:szCs w:val="28"/>
    </w:rPr>
  </w:style>
  <w:style w:type="character" w:customStyle="1" w:styleId="Heading1Char">
    <w:name w:val="Heading 1 Char"/>
    <w:basedOn w:val="DefaultParagraphFont"/>
    <w:link w:val="Heading1"/>
    <w:uiPriority w:val="9"/>
    <w:rsid w:val="00FC0D9A"/>
    <w:rPr>
      <w:rFonts w:ascii="Times New Roman" w:eastAsiaTheme="majorEastAsia" w:hAnsi="Times New Roman" w:cstheme="majorBidi"/>
      <w:b/>
      <w:bCs/>
      <w:caps/>
      <w:color w:val="000000" w:themeColor="text1"/>
      <w:sz w:val="24"/>
      <w:szCs w:val="28"/>
    </w:rPr>
  </w:style>
  <w:style w:type="paragraph" w:customStyle="1" w:styleId="Style3">
    <w:name w:val="Style3"/>
    <w:basedOn w:val="Heading1"/>
    <w:link w:val="Style3Char"/>
    <w:autoRedefine/>
    <w:qFormat/>
    <w:rsid w:val="00993E04"/>
    <w:pPr>
      <w:numPr>
        <w:numId w:val="28"/>
      </w:numPr>
    </w:pPr>
    <w:rPr>
      <w:b w:val="0"/>
    </w:rPr>
  </w:style>
  <w:style w:type="character" w:customStyle="1" w:styleId="Style3Char">
    <w:name w:val="Style3 Char"/>
    <w:basedOn w:val="Heading1Char"/>
    <w:link w:val="Style3"/>
    <w:rsid w:val="00993E04"/>
    <w:rPr>
      <w:rFonts w:ascii="Times New Roman" w:eastAsiaTheme="majorEastAsia" w:hAnsi="Times New Roman" w:cstheme="majorBidi"/>
      <w:b w:val="0"/>
      <w:bCs/>
      <w:caps/>
      <w:color w:val="000000" w:themeColor="text1"/>
      <w:sz w:val="24"/>
      <w:szCs w:val="28"/>
    </w:rPr>
  </w:style>
  <w:style w:type="paragraph" w:customStyle="1" w:styleId="Style2">
    <w:name w:val="Style2"/>
    <w:basedOn w:val="Heading2"/>
    <w:link w:val="Style2Char"/>
    <w:autoRedefine/>
    <w:qFormat/>
    <w:rsid w:val="00993E04"/>
    <w:pPr>
      <w:numPr>
        <w:numId w:val="27"/>
      </w:numPr>
    </w:pPr>
    <w:rPr>
      <w:smallCaps w:val="0"/>
    </w:rPr>
  </w:style>
  <w:style w:type="character" w:customStyle="1" w:styleId="Style2Char">
    <w:name w:val="Style2 Char"/>
    <w:basedOn w:val="Heading2Char"/>
    <w:link w:val="Style2"/>
    <w:rsid w:val="00993E04"/>
    <w:rPr>
      <w:rFonts w:ascii="Times New Roman" w:eastAsiaTheme="majorEastAsia" w:hAnsi="Times New Roman" w:cstheme="majorBidi"/>
      <w:bCs/>
      <w:smallCaps w:val="0"/>
      <w:color w:val="000000" w:themeColor="text1"/>
      <w:sz w:val="24"/>
      <w:szCs w:val="26"/>
    </w:rPr>
  </w:style>
  <w:style w:type="character" w:customStyle="1" w:styleId="Heading2Char">
    <w:name w:val="Heading 2 Char"/>
    <w:basedOn w:val="DefaultParagraphFont"/>
    <w:link w:val="Heading2"/>
    <w:uiPriority w:val="9"/>
    <w:rsid w:val="00FC0D9A"/>
    <w:rPr>
      <w:rFonts w:ascii="Times New Roman" w:eastAsiaTheme="majorEastAsia" w:hAnsi="Times New Roman" w:cstheme="majorBidi"/>
      <w:bCs/>
      <w:smallCaps/>
      <w:color w:val="000000" w:themeColor="text1"/>
      <w:sz w:val="24"/>
      <w:szCs w:val="26"/>
    </w:rPr>
  </w:style>
  <w:style w:type="character" w:customStyle="1" w:styleId="Heading3Char">
    <w:name w:val="Heading 3 Char"/>
    <w:basedOn w:val="DefaultParagraphFont"/>
    <w:link w:val="Heading3"/>
    <w:uiPriority w:val="9"/>
    <w:rsid w:val="00993E04"/>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BD1D46"/>
    <w:rPr>
      <w:rFonts w:ascii="Times New Roman" w:eastAsiaTheme="majorEastAsia" w:hAnsi="Times New Roman" w:cstheme="majorBidi"/>
      <w:bCs/>
      <w:iCs/>
      <w:color w:val="000000" w:themeColor="text1"/>
      <w:sz w:val="24"/>
    </w:rPr>
  </w:style>
  <w:style w:type="character" w:customStyle="1" w:styleId="Heading5Char">
    <w:name w:val="Heading 5 Char"/>
    <w:basedOn w:val="DefaultParagraphFont"/>
    <w:link w:val="Heading5"/>
    <w:uiPriority w:val="9"/>
    <w:rsid w:val="00BD1D46"/>
    <w:rPr>
      <w:rFonts w:ascii="Times New Roman" w:eastAsiaTheme="majorEastAsia" w:hAnsi="Times New Roman" w:cstheme="majorBidi"/>
      <w:color w:val="000000" w:themeColor="text1"/>
      <w:sz w:val="24"/>
    </w:rPr>
  </w:style>
  <w:style w:type="paragraph" w:styleId="TOC2">
    <w:name w:val="toc 2"/>
    <w:basedOn w:val="Heading2"/>
    <w:next w:val="NoSpacing"/>
    <w:autoRedefine/>
    <w:uiPriority w:val="39"/>
    <w:unhideWhenUsed/>
    <w:rsid w:val="00FC0D9A"/>
    <w:pPr>
      <w:numPr>
        <w:numId w:val="0"/>
      </w:numPr>
      <w:spacing w:after="100"/>
    </w:pPr>
  </w:style>
  <w:style w:type="paragraph" w:styleId="NoSpacing">
    <w:name w:val="No Spacing"/>
    <w:uiPriority w:val="1"/>
    <w:qFormat/>
    <w:rsid w:val="00FC0D9A"/>
  </w:style>
  <w:style w:type="paragraph" w:styleId="TOC3">
    <w:name w:val="toc 3"/>
    <w:basedOn w:val="Normal"/>
    <w:next w:val="Normal"/>
    <w:autoRedefine/>
    <w:uiPriority w:val="39"/>
    <w:unhideWhenUsed/>
    <w:rsid w:val="00FC0D9A"/>
    <w:pPr>
      <w:widowControl/>
      <w:spacing w:after="100"/>
      <w:ind w:left="1080"/>
    </w:pPr>
    <w:rPr>
      <w:rFonts w:ascii="Times New Roman" w:hAnsi="Times New Roman" w:cs="Times New Roman"/>
      <w:sz w:val="20"/>
      <w:szCs w:val="20"/>
    </w:rPr>
  </w:style>
  <w:style w:type="paragraph" w:styleId="TOC1">
    <w:name w:val="toc 1"/>
    <w:basedOn w:val="Heading1"/>
    <w:next w:val="Normal"/>
    <w:autoRedefine/>
    <w:uiPriority w:val="39"/>
    <w:unhideWhenUsed/>
    <w:rsid w:val="00FC0D9A"/>
    <w:pPr>
      <w:numPr>
        <w:numId w:val="0"/>
      </w:numPr>
    </w:pPr>
  </w:style>
  <w:style w:type="table" w:styleId="TableGrid">
    <w:name w:val="Table Grid"/>
    <w:basedOn w:val="TableNormal"/>
    <w:uiPriority w:val="59"/>
    <w:rsid w:val="00284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84F83"/>
    <w:pPr>
      <w:ind w:left="1510"/>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284F83"/>
    <w:rPr>
      <w:rFonts w:ascii="Times New Roman" w:eastAsia="Times New Roman" w:hAnsi="Times New Roman" w:cstheme="minorBidi"/>
      <w:sz w:val="20"/>
      <w:szCs w:val="20"/>
    </w:rPr>
  </w:style>
  <w:style w:type="paragraph" w:styleId="BalloonText">
    <w:name w:val="Balloon Text"/>
    <w:basedOn w:val="Normal"/>
    <w:link w:val="BalloonTextChar"/>
    <w:uiPriority w:val="99"/>
    <w:semiHidden/>
    <w:unhideWhenUsed/>
    <w:rsid w:val="00996A26"/>
    <w:rPr>
      <w:rFonts w:ascii="Tahoma" w:hAnsi="Tahoma" w:cs="Tahoma"/>
      <w:sz w:val="16"/>
      <w:szCs w:val="16"/>
    </w:rPr>
  </w:style>
  <w:style w:type="character" w:customStyle="1" w:styleId="BalloonTextChar">
    <w:name w:val="Balloon Text Char"/>
    <w:basedOn w:val="DefaultParagraphFont"/>
    <w:link w:val="BalloonText"/>
    <w:uiPriority w:val="99"/>
    <w:semiHidden/>
    <w:rsid w:val="00996A26"/>
    <w:rPr>
      <w:rFonts w:ascii="Tahoma" w:hAnsi="Tahoma" w:cs="Tahoma"/>
      <w:sz w:val="16"/>
      <w:szCs w:val="16"/>
    </w:rPr>
  </w:style>
  <w:style w:type="paragraph" w:styleId="Header">
    <w:name w:val="header"/>
    <w:basedOn w:val="Normal"/>
    <w:link w:val="HeaderChar"/>
    <w:uiPriority w:val="99"/>
    <w:unhideWhenUsed/>
    <w:rsid w:val="00E22664"/>
    <w:pPr>
      <w:tabs>
        <w:tab w:val="center" w:pos="4680"/>
        <w:tab w:val="right" w:pos="9360"/>
      </w:tabs>
    </w:pPr>
  </w:style>
  <w:style w:type="character" w:customStyle="1" w:styleId="HeaderChar">
    <w:name w:val="Header Char"/>
    <w:basedOn w:val="DefaultParagraphFont"/>
    <w:link w:val="Header"/>
    <w:uiPriority w:val="99"/>
    <w:rsid w:val="00E22664"/>
    <w:rPr>
      <w:rFonts w:asciiTheme="minorHAnsi" w:hAnsiTheme="minorHAnsi" w:cstheme="minorBidi"/>
      <w:sz w:val="22"/>
      <w:szCs w:val="22"/>
    </w:rPr>
  </w:style>
  <w:style w:type="paragraph" w:styleId="Footer">
    <w:name w:val="footer"/>
    <w:basedOn w:val="Normal"/>
    <w:link w:val="FooterChar"/>
    <w:uiPriority w:val="99"/>
    <w:unhideWhenUsed/>
    <w:rsid w:val="00E22664"/>
    <w:pPr>
      <w:tabs>
        <w:tab w:val="center" w:pos="4680"/>
        <w:tab w:val="right" w:pos="9360"/>
      </w:tabs>
    </w:pPr>
  </w:style>
  <w:style w:type="character" w:customStyle="1" w:styleId="FooterChar">
    <w:name w:val="Footer Char"/>
    <w:basedOn w:val="DefaultParagraphFont"/>
    <w:link w:val="Footer"/>
    <w:uiPriority w:val="99"/>
    <w:rsid w:val="00E22664"/>
    <w:rPr>
      <w:rFonts w:asciiTheme="minorHAnsi" w:hAnsiTheme="minorHAnsi" w:cstheme="minorBidi"/>
      <w:sz w:val="22"/>
      <w:szCs w:val="22"/>
    </w:rPr>
  </w:style>
  <w:style w:type="paragraph" w:styleId="FootnoteText">
    <w:name w:val="footnote text"/>
    <w:basedOn w:val="Normal"/>
    <w:link w:val="FootnoteTextChar"/>
    <w:uiPriority w:val="99"/>
    <w:semiHidden/>
    <w:unhideWhenUsed/>
    <w:rsid w:val="001A6FF3"/>
    <w:rPr>
      <w:sz w:val="20"/>
      <w:szCs w:val="20"/>
    </w:rPr>
  </w:style>
  <w:style w:type="character" w:customStyle="1" w:styleId="FootnoteTextChar">
    <w:name w:val="Footnote Text Char"/>
    <w:basedOn w:val="DefaultParagraphFont"/>
    <w:link w:val="FootnoteText"/>
    <w:uiPriority w:val="99"/>
    <w:semiHidden/>
    <w:rsid w:val="001A6FF3"/>
    <w:rPr>
      <w:rFonts w:asciiTheme="minorHAnsi" w:hAnsiTheme="minorHAnsi" w:cstheme="minorBidi"/>
      <w:sz w:val="20"/>
      <w:szCs w:val="20"/>
    </w:rPr>
  </w:style>
  <w:style w:type="character" w:styleId="FootnoteReference">
    <w:name w:val="footnote reference"/>
    <w:aliases w:val="o,fr,o1,o2,o3,o4,o5,o6,o11,o21,o7,Style 3"/>
    <w:basedOn w:val="DefaultParagraphFont"/>
    <w:uiPriority w:val="99"/>
    <w:unhideWhenUsed/>
    <w:rsid w:val="001A6FF3"/>
    <w:rPr>
      <w:vertAlign w:val="superscript"/>
    </w:rPr>
  </w:style>
  <w:style w:type="character" w:styleId="Hyperlink">
    <w:name w:val="Hyperlink"/>
    <w:basedOn w:val="DefaultParagraphFont"/>
    <w:uiPriority w:val="99"/>
    <w:unhideWhenUsed/>
    <w:rsid w:val="00564AE1"/>
    <w:rPr>
      <w:color w:val="0000FF" w:themeColor="hyperlink"/>
      <w:u w:val="single"/>
    </w:rPr>
  </w:style>
  <w:style w:type="character" w:styleId="UnresolvedMention">
    <w:name w:val="Unresolved Mention"/>
    <w:basedOn w:val="DefaultParagraphFont"/>
    <w:uiPriority w:val="99"/>
    <w:semiHidden/>
    <w:unhideWhenUsed/>
    <w:rsid w:val="00564AE1"/>
    <w:rPr>
      <w:color w:val="605E5C"/>
      <w:shd w:val="clear" w:color="auto" w:fill="E1DFDD"/>
    </w:rPr>
  </w:style>
  <w:style w:type="character" w:styleId="FollowedHyperlink">
    <w:name w:val="FollowedHyperlink"/>
    <w:basedOn w:val="DefaultParagraphFont"/>
    <w:uiPriority w:val="99"/>
    <w:semiHidden/>
    <w:unhideWhenUsed/>
    <w:rsid w:val="00564AE1"/>
    <w:rPr>
      <w:color w:val="800080" w:themeColor="followedHyperlink"/>
      <w:u w:val="single"/>
    </w:rPr>
  </w:style>
  <w:style w:type="paragraph" w:styleId="BodyTextIndent">
    <w:name w:val="Body Text Indent"/>
    <w:basedOn w:val="Normal"/>
    <w:link w:val="BodyTextIndentChar"/>
    <w:uiPriority w:val="99"/>
    <w:semiHidden/>
    <w:unhideWhenUsed/>
    <w:rsid w:val="004756E9"/>
    <w:pPr>
      <w:spacing w:after="120"/>
      <w:ind w:left="360"/>
    </w:pPr>
  </w:style>
  <w:style w:type="character" w:customStyle="1" w:styleId="BodyTextIndentChar">
    <w:name w:val="Body Text Indent Char"/>
    <w:basedOn w:val="DefaultParagraphFont"/>
    <w:link w:val="BodyTextIndent"/>
    <w:uiPriority w:val="99"/>
    <w:semiHidden/>
    <w:rsid w:val="004756E9"/>
    <w:rPr>
      <w:rFonts w:asciiTheme="minorHAnsi" w:hAnsiTheme="minorHAnsi" w:cstheme="minorBidi"/>
      <w:sz w:val="22"/>
      <w:szCs w:val="22"/>
    </w:rPr>
  </w:style>
  <w:style w:type="paragraph" w:styleId="ListParagraph">
    <w:name w:val="List Paragraph"/>
    <w:basedOn w:val="Normal"/>
    <w:uiPriority w:val="34"/>
    <w:qFormat/>
    <w:rsid w:val="00340A25"/>
    <w:pPr>
      <w:ind w:left="720"/>
      <w:contextualSpacing/>
    </w:pPr>
  </w:style>
  <w:style w:type="paragraph" w:styleId="Revision">
    <w:name w:val="Revision"/>
    <w:hidden/>
    <w:uiPriority w:val="99"/>
    <w:semiHidden/>
    <w:rsid w:val="0049206C"/>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2B08CB"/>
    <w:rPr>
      <w:sz w:val="16"/>
      <w:szCs w:val="16"/>
    </w:rPr>
  </w:style>
  <w:style w:type="paragraph" w:styleId="CommentText">
    <w:name w:val="annotation text"/>
    <w:basedOn w:val="Normal"/>
    <w:link w:val="CommentTextChar"/>
    <w:uiPriority w:val="99"/>
    <w:unhideWhenUsed/>
    <w:rsid w:val="002B08CB"/>
    <w:rPr>
      <w:sz w:val="20"/>
      <w:szCs w:val="20"/>
    </w:rPr>
  </w:style>
  <w:style w:type="character" w:customStyle="1" w:styleId="CommentTextChar">
    <w:name w:val="Comment Text Char"/>
    <w:basedOn w:val="DefaultParagraphFont"/>
    <w:link w:val="CommentText"/>
    <w:uiPriority w:val="99"/>
    <w:rsid w:val="002B08CB"/>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2B08CB"/>
    <w:rPr>
      <w:b/>
      <w:bCs/>
    </w:rPr>
  </w:style>
  <w:style w:type="character" w:customStyle="1" w:styleId="CommentSubjectChar">
    <w:name w:val="Comment Subject Char"/>
    <w:basedOn w:val="CommentTextChar"/>
    <w:link w:val="CommentSubject"/>
    <w:uiPriority w:val="99"/>
    <w:semiHidden/>
    <w:rsid w:val="002B08CB"/>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05654">
      <w:bodyDiv w:val="1"/>
      <w:marLeft w:val="0"/>
      <w:marRight w:val="0"/>
      <w:marTop w:val="0"/>
      <w:marBottom w:val="0"/>
      <w:divBdr>
        <w:top w:val="none" w:sz="0" w:space="0" w:color="auto"/>
        <w:left w:val="none" w:sz="0" w:space="0" w:color="auto"/>
        <w:bottom w:val="none" w:sz="0" w:space="0" w:color="auto"/>
        <w:right w:val="none" w:sz="0" w:space="0" w:color="auto"/>
      </w:divBdr>
    </w:div>
    <w:div w:id="1098869605">
      <w:bodyDiv w:val="1"/>
      <w:marLeft w:val="0"/>
      <w:marRight w:val="0"/>
      <w:marTop w:val="0"/>
      <w:marBottom w:val="0"/>
      <w:divBdr>
        <w:top w:val="none" w:sz="0" w:space="0" w:color="auto"/>
        <w:left w:val="none" w:sz="0" w:space="0" w:color="auto"/>
        <w:bottom w:val="none" w:sz="0" w:space="0" w:color="auto"/>
        <w:right w:val="none" w:sz="0" w:space="0" w:color="auto"/>
      </w:divBdr>
    </w:div>
    <w:div w:id="1526626632">
      <w:bodyDiv w:val="1"/>
      <w:marLeft w:val="0"/>
      <w:marRight w:val="0"/>
      <w:marTop w:val="0"/>
      <w:marBottom w:val="0"/>
      <w:divBdr>
        <w:top w:val="none" w:sz="0" w:space="0" w:color="auto"/>
        <w:left w:val="none" w:sz="0" w:space="0" w:color="auto"/>
        <w:bottom w:val="none" w:sz="0" w:space="0" w:color="auto"/>
        <w:right w:val="none" w:sz="0" w:space="0" w:color="auto"/>
      </w:divBdr>
    </w:div>
    <w:div w:id="20174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ine.gov/energy/initiatives/energy-efficiency" TargetMode="External"/><Relationship Id="rId3" Type="http://schemas.openxmlformats.org/officeDocument/2006/relationships/hyperlink" Target="https://www.efficiencymaine.com/heat-pump-user-" TargetMode="External"/><Relationship Id="rId7" Type="http://schemas.openxmlformats.org/officeDocument/2006/relationships/hyperlink" Target="https://www.maine.gov/climateplan/dashboard" TargetMode="External"/><Relationship Id="rId2" Type="http://schemas.openxmlformats.org/officeDocument/2006/relationships/hyperlink" Target="https://www.nachi.org/defrost-cycle-heat-pump.htm" TargetMode="External"/><Relationship Id="rId1" Type="http://schemas.openxmlformats.org/officeDocument/2006/relationships/hyperlink" Target="https://www.necpuc.org/wp-content/uploads/2025/07/lbnl_technical_assistance_memo_20250731_final.pdf" TargetMode="External"/><Relationship Id="rId6" Type="http://schemas.openxmlformats.org/officeDocument/2006/relationships/hyperlink" Target="https://www.maine.gov/energy/initiatives/energy-efficiency" TargetMode="External"/><Relationship Id="rId5" Type="http://schemas.openxmlformats.org/officeDocument/2006/relationships/hyperlink" Target="https://alliant-faqs.tendrilinc.com/faqs/what-is-alliant-energy-r-smart-%20%20%20hours" TargetMode="External"/><Relationship Id="rId4" Type="http://schemas.openxmlformats.org/officeDocument/2006/relationships/hyperlink" Target="https://www.nyserda.ny.gov/-/media/Project/Nyserda/Files/Publications/Fact-Sheets/CHC-SFR-HP-maintenance-fs-1-v1-ac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B325E-A106-4AEA-AD0C-D13F4F9E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1758</Words>
  <Characters>9513</Characters>
  <Application>Microsoft Office Word</Application>
  <DocSecurity>0</DocSecurity>
  <Lines>164</Lines>
  <Paragraphs>89</Paragraphs>
  <ScaleCrop>false</ScaleCrop>
  <HeadingPairs>
    <vt:vector size="2" baseType="variant">
      <vt:variant>
        <vt:lpstr>Title</vt:lpstr>
      </vt:variant>
      <vt:variant>
        <vt:i4>1</vt:i4>
      </vt:variant>
    </vt:vector>
  </HeadingPairs>
  <TitlesOfParts>
    <vt:vector size="1" baseType="lpstr">
      <vt:lpstr>OPA Letter Template</vt:lpstr>
    </vt:vector>
  </TitlesOfParts>
  <Company>State of Maine</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OPA Letter Template</dc:title>
  <dc:creator>Patty J. Moody-D'Angelo</dc:creator>
  <dc:description>located at: G:/10WORD/ADMINISTRATIVE/TEMPLATES</dc:description>
  <cp:lastModifiedBy>Chamberlin, Susan W</cp:lastModifiedBy>
  <cp:revision>5</cp:revision>
  <cp:lastPrinted>2014-08-20T15:18:00Z</cp:lastPrinted>
  <dcterms:created xsi:type="dcterms:W3CDTF">2025-08-22T19:14:00Z</dcterms:created>
  <dcterms:modified xsi:type="dcterms:W3CDTF">2025-08-22T19:20:00Z</dcterms:modified>
</cp:coreProperties>
</file>